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FBFE" w14:textId="77777777" w:rsidR="00E25BEF" w:rsidRDefault="00E25BEF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E25BEF">
        <w:rPr>
          <w:rFonts w:ascii="Calibri" w:hAnsi="Calibri" w:cs="Calibri"/>
          <w:b/>
          <w:sz w:val="20"/>
          <w:szCs w:val="20"/>
          <w:lang w:val="en-AU"/>
        </w:rPr>
        <w:t>Bayesian virtual trials enable precision paediatric dosing across multiple drug classes</w:t>
      </w:r>
    </w:p>
    <w:p w14:paraId="311B08B7" w14:textId="20132FBC" w:rsidR="00711813" w:rsidRPr="004E5450" w:rsidRDefault="00496B0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96B0A">
        <w:rPr>
          <w:rFonts w:ascii="Calibri" w:hAnsi="Calibri" w:cs="Calibri"/>
          <w:sz w:val="20"/>
          <w:szCs w:val="20"/>
          <w:lang w:val="en-AU"/>
        </w:rPr>
        <w:t>Catherine M Sherwin</w:t>
      </w:r>
      <w:r w:rsidRPr="00496B0A">
        <w:rPr>
          <w:rFonts w:ascii="Calibri" w:hAnsi="Calibri" w:cs="Calibri"/>
          <w:sz w:val="20"/>
          <w:szCs w:val="20"/>
          <w:vertAlign w:val="superscript"/>
          <w:lang w:val="en-AU"/>
        </w:rPr>
        <w:t>1,2,3</w:t>
      </w:r>
      <w:r w:rsidRPr="00496B0A">
        <w:rPr>
          <w:rFonts w:ascii="Calibri" w:hAnsi="Calibri" w:cs="Calibri"/>
          <w:sz w:val="20"/>
          <w:szCs w:val="20"/>
          <w:lang w:val="en-AU"/>
        </w:rPr>
        <w:t>, Atefeh Kazeroonian¹, Kas Subramanian¹. Differentia Biotech Ltd¹, CA, USA; UWA Medical School, The University of Western Australia, Perth, WA, Australia</w:t>
      </w:r>
      <w:r w:rsidRPr="00496B0A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496B0A">
        <w:rPr>
          <w:rFonts w:ascii="Calibri" w:hAnsi="Calibri" w:cs="Calibri"/>
          <w:sz w:val="20"/>
          <w:szCs w:val="20"/>
          <w:lang w:val="en-AU"/>
        </w:rPr>
        <w:t>; Department of Experimental and Clinical Pharmacology, College of Pharmacy, University of Minnesota, Minneapolis, MN, USA</w:t>
      </w:r>
      <w:r w:rsidRPr="00496B0A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496B0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52A0F39" w14:textId="5682189B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434CEE15" w14:textId="77777777" w:rsidR="00E01D60" w:rsidRPr="00E01D60" w:rsidRDefault="00E01D60" w:rsidP="00E01D6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01D60">
        <w:rPr>
          <w:rFonts w:ascii="Calibri" w:hAnsi="Calibri" w:cs="Calibri"/>
          <w:b/>
          <w:bCs/>
          <w:sz w:val="20"/>
          <w:szCs w:val="20"/>
          <w:lang w:val="en-AU"/>
        </w:rPr>
        <w:t xml:space="preserve">Introduction. </w:t>
      </w:r>
      <w:r w:rsidRPr="00E01D60">
        <w:rPr>
          <w:rFonts w:ascii="Calibri" w:hAnsi="Calibri" w:cs="Calibri"/>
          <w:sz w:val="20"/>
          <w:szCs w:val="20"/>
          <w:lang w:val="en-AU"/>
        </w:rPr>
        <w:t>Paediatric dosing is highly variable due to age-dependent PK, interindividual differences, and limitations of TDM. Therapies such as antibiotics, antiepileptics, immunosuppressants, and oncology agents require individualisation to balance efficacy and toxicity.</w:t>
      </w:r>
    </w:p>
    <w:p w14:paraId="06DC57A3" w14:textId="77777777" w:rsidR="00E01D60" w:rsidRPr="00E01D60" w:rsidRDefault="00E01D60" w:rsidP="00E01D6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01D60">
        <w:rPr>
          <w:rFonts w:ascii="Calibri" w:hAnsi="Calibri" w:cs="Calibri"/>
          <w:b/>
          <w:bCs/>
          <w:sz w:val="20"/>
          <w:szCs w:val="20"/>
          <w:lang w:val="en-AU"/>
        </w:rPr>
        <w:t xml:space="preserve">Aims. </w:t>
      </w:r>
      <w:r w:rsidRPr="00E01D60">
        <w:rPr>
          <w:rFonts w:ascii="Calibri" w:hAnsi="Calibri" w:cs="Calibri"/>
          <w:sz w:val="20"/>
          <w:szCs w:val="20"/>
          <w:lang w:val="en-AU"/>
        </w:rPr>
        <w:t>To refine precision dosing using virtual trials, Bayesian forecasting, and optimal design across multiple drug classes.</w:t>
      </w:r>
    </w:p>
    <w:p w14:paraId="73B8FA4C" w14:textId="08F99AE4" w:rsidR="00E01D60" w:rsidRPr="00E01D60" w:rsidRDefault="00E01D60" w:rsidP="00E01D6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01D60">
        <w:rPr>
          <w:rFonts w:ascii="Calibri" w:hAnsi="Calibri" w:cs="Calibri"/>
          <w:b/>
          <w:bCs/>
          <w:sz w:val="20"/>
          <w:szCs w:val="20"/>
          <w:lang w:val="en-AU"/>
        </w:rPr>
        <w:t xml:space="preserve">Methods. </w:t>
      </w:r>
      <w:r w:rsidRPr="00E01D60">
        <w:rPr>
          <w:rFonts w:ascii="Calibri" w:hAnsi="Calibri" w:cs="Calibri"/>
          <w:sz w:val="20"/>
          <w:szCs w:val="20"/>
          <w:lang w:val="en-AU"/>
        </w:rPr>
        <w:t xml:space="preserve">A NONMEM (v7.4) population PK model simulated a virtual paediatric cohort with renal function, clearance maturation, and weight scaling. Monte Carlo simulations estimated PTA for multiple drug classes. Optimal design </w:t>
      </w:r>
      <w:r>
        <w:rPr>
          <w:rFonts w:ascii="Calibri" w:hAnsi="Calibri" w:cs="Calibri"/>
          <w:sz w:val="20"/>
          <w:szCs w:val="20"/>
          <w:lang w:val="en-AU"/>
        </w:rPr>
        <w:t xml:space="preserve">was used with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PopED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(R v0.7.0), and PFIM (R v7.0; R ≥ 4.0.0) was employed </w:t>
      </w:r>
      <w:r w:rsidRPr="00E01D60">
        <w:rPr>
          <w:rFonts w:ascii="Calibri" w:hAnsi="Calibri" w:cs="Calibri"/>
          <w:sz w:val="20"/>
          <w:szCs w:val="20"/>
          <w:lang w:val="en-AU"/>
        </w:rPr>
        <w:t xml:space="preserve">for validation via D-criterion algorithms. Designs identified informative sampling schedules. Bayesian forecasting was compared with TDM, and virtual trials </w:t>
      </w:r>
      <w:r>
        <w:rPr>
          <w:rFonts w:ascii="Calibri" w:hAnsi="Calibri" w:cs="Calibri"/>
          <w:sz w:val="20"/>
          <w:szCs w:val="20"/>
          <w:lang w:val="en-AU"/>
        </w:rPr>
        <w:t xml:space="preserve">were simulated to assess </w:t>
      </w:r>
      <w:r w:rsidRPr="00E01D60">
        <w:rPr>
          <w:rFonts w:ascii="Calibri" w:hAnsi="Calibri" w:cs="Calibri"/>
          <w:sz w:val="20"/>
          <w:szCs w:val="20"/>
          <w:lang w:val="en-AU"/>
        </w:rPr>
        <w:t>first-in-child dosing.</w:t>
      </w:r>
    </w:p>
    <w:p w14:paraId="016EE202" w14:textId="0E18AA79" w:rsidR="00E01D60" w:rsidRPr="00E01D60" w:rsidRDefault="00E01D60" w:rsidP="00E01D6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01D60">
        <w:rPr>
          <w:rFonts w:ascii="Calibri" w:hAnsi="Calibri" w:cs="Calibri"/>
          <w:b/>
          <w:bCs/>
          <w:sz w:val="20"/>
          <w:szCs w:val="20"/>
          <w:lang w:val="en-AU"/>
        </w:rPr>
        <w:t xml:space="preserve">Results. </w:t>
      </w:r>
      <w:r w:rsidRPr="00E01D60">
        <w:rPr>
          <w:rFonts w:ascii="Calibri" w:hAnsi="Calibri" w:cs="Calibri"/>
          <w:sz w:val="20"/>
          <w:szCs w:val="20"/>
          <w:lang w:val="en-AU"/>
        </w:rPr>
        <w:t xml:space="preserve">Bayesian forecasting increased PTA from 60–70% with TDM to 80–90%, reducing exposure CV by 20–30%. Antibiotics achieved target exposure in 80–90% </w:t>
      </w:r>
      <w:r>
        <w:rPr>
          <w:rFonts w:ascii="Calibri" w:hAnsi="Calibri" w:cs="Calibri"/>
          <w:sz w:val="20"/>
          <w:szCs w:val="20"/>
          <w:lang w:val="en-AU"/>
        </w:rPr>
        <w:t xml:space="preserve">of cases, with fewer instances of </w:t>
      </w:r>
      <w:r w:rsidRPr="00E01D60">
        <w:rPr>
          <w:rFonts w:ascii="Calibri" w:hAnsi="Calibri" w:cs="Calibri"/>
          <w:sz w:val="20"/>
          <w:szCs w:val="20"/>
          <w:lang w:val="en-AU"/>
        </w:rPr>
        <w:t xml:space="preserve">above-threshold values. Antiepileptics showed </w:t>
      </w:r>
      <w:r>
        <w:rPr>
          <w:rFonts w:ascii="Calibri" w:hAnsi="Calibri" w:cs="Calibri"/>
          <w:sz w:val="20"/>
          <w:szCs w:val="20"/>
          <w:lang w:val="en-AU"/>
        </w:rPr>
        <w:t xml:space="preserve">more than </w:t>
      </w:r>
      <w:r w:rsidRPr="00E01D60">
        <w:rPr>
          <w:rFonts w:ascii="Calibri" w:hAnsi="Calibri" w:cs="Calibri"/>
          <w:sz w:val="20"/>
          <w:szCs w:val="20"/>
          <w:lang w:val="en-AU"/>
        </w:rPr>
        <w:t xml:space="preserve">70% fewer subtherapeutic exposures and reduced phenytoin accumulation. Immunosuppressants had more time in </w:t>
      </w:r>
      <w:r>
        <w:rPr>
          <w:rFonts w:ascii="Calibri" w:hAnsi="Calibri" w:cs="Calibri"/>
          <w:sz w:val="20"/>
          <w:szCs w:val="20"/>
          <w:lang w:val="en-AU"/>
        </w:rPr>
        <w:t xml:space="preserve">the </w:t>
      </w:r>
      <w:r w:rsidRPr="00E01D60">
        <w:rPr>
          <w:rFonts w:ascii="Calibri" w:hAnsi="Calibri" w:cs="Calibri"/>
          <w:sz w:val="20"/>
          <w:szCs w:val="20"/>
          <w:lang w:val="en-AU"/>
        </w:rPr>
        <w:t>tacrolimus range with narrower variability. Oncology agents showed 10–20% higher target attainment and fewer dose-limiting exposures. Optimal designs cut blood draws by 30–50% while preserving precision.</w:t>
      </w:r>
    </w:p>
    <w:p w14:paraId="77E777F1" w14:textId="77777777" w:rsidR="00E01D60" w:rsidRDefault="00E01D60" w:rsidP="00E01D6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01D60">
        <w:rPr>
          <w:rFonts w:ascii="Calibri" w:hAnsi="Calibri" w:cs="Calibri"/>
          <w:b/>
          <w:bCs/>
          <w:sz w:val="20"/>
          <w:szCs w:val="20"/>
          <w:lang w:val="en-AU"/>
        </w:rPr>
        <w:t xml:space="preserve">Discussion. </w:t>
      </w:r>
      <w:r w:rsidRPr="00E01D60">
        <w:rPr>
          <w:rFonts w:ascii="Calibri" w:hAnsi="Calibri" w:cs="Calibri"/>
          <w:sz w:val="20"/>
          <w:szCs w:val="20"/>
          <w:lang w:val="en-AU"/>
        </w:rPr>
        <w:t xml:space="preserve">Virtual trials, Bayesian forecasting, and optimal design improve paediatric precision dosing, enhancing safety, efficacy, and trial efficiency. This model-informed framework offers scalable strategies from neonates to adolescents and highlights the translational role of </w:t>
      </w:r>
      <w:proofErr w:type="spellStart"/>
      <w:r w:rsidRPr="00E01D60">
        <w:rPr>
          <w:rFonts w:ascii="Calibri" w:hAnsi="Calibri" w:cs="Calibri"/>
          <w:sz w:val="20"/>
          <w:szCs w:val="20"/>
          <w:lang w:val="en-AU"/>
        </w:rPr>
        <w:t>pharmacometric</w:t>
      </w:r>
      <w:proofErr w:type="spellEnd"/>
      <w:r w:rsidRPr="00E01D60">
        <w:rPr>
          <w:rFonts w:ascii="Calibri" w:hAnsi="Calibri" w:cs="Calibri"/>
          <w:sz w:val="20"/>
          <w:szCs w:val="20"/>
          <w:lang w:val="en-AU"/>
        </w:rPr>
        <w:t xml:space="preserve"> modelling in drug development and regulatory science.</w:t>
      </w:r>
    </w:p>
    <w:p w14:paraId="15966512" w14:textId="77777777" w:rsidR="00E01D60" w:rsidRDefault="00E01D60" w:rsidP="00E01D60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0B78FE17" w14:textId="77777777" w:rsidR="00E01D60" w:rsidRPr="00E01D60" w:rsidRDefault="00E01D60" w:rsidP="00E01D6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01D60">
        <w:rPr>
          <w:rFonts w:ascii="Calibri" w:hAnsi="Calibri" w:cs="Calibri"/>
          <w:sz w:val="20"/>
          <w:szCs w:val="20"/>
          <w:lang w:val="en-AU"/>
        </w:rPr>
        <w:t xml:space="preserve">Seurat J et al (2021) </w:t>
      </w:r>
      <w:proofErr w:type="spellStart"/>
      <w:r w:rsidRPr="00E01D60">
        <w:rPr>
          <w:rFonts w:ascii="Calibri" w:hAnsi="Calibri" w:cs="Calibri"/>
          <w:sz w:val="20"/>
          <w:szCs w:val="20"/>
          <w:lang w:val="en-AU"/>
        </w:rPr>
        <w:t>Comput</w:t>
      </w:r>
      <w:proofErr w:type="spellEnd"/>
      <w:r w:rsidRPr="00E01D60">
        <w:rPr>
          <w:rFonts w:ascii="Calibri" w:hAnsi="Calibri" w:cs="Calibri"/>
          <w:sz w:val="20"/>
          <w:szCs w:val="20"/>
          <w:lang w:val="en-AU"/>
        </w:rPr>
        <w:t xml:space="preserve"> Methods Programs Biomed 207:106126</w:t>
      </w:r>
    </w:p>
    <w:p w14:paraId="045C7CA3" w14:textId="3BB85E32" w:rsidR="00F97620" w:rsidRPr="004E5450" w:rsidRDefault="00E01D60" w:rsidP="00E01D6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01D60">
        <w:rPr>
          <w:rFonts w:ascii="Calibri" w:hAnsi="Calibri" w:cs="Calibri"/>
          <w:sz w:val="20"/>
          <w:szCs w:val="20"/>
          <w:lang w:val="en-AU"/>
        </w:rPr>
        <w:t xml:space="preserve">Ueckert S &amp; </w:t>
      </w:r>
      <w:proofErr w:type="spellStart"/>
      <w:r w:rsidRPr="00E01D60">
        <w:rPr>
          <w:rFonts w:ascii="Calibri" w:hAnsi="Calibri" w:cs="Calibri"/>
          <w:sz w:val="20"/>
          <w:szCs w:val="20"/>
          <w:lang w:val="en-AU"/>
        </w:rPr>
        <w:t>Mentré</w:t>
      </w:r>
      <w:proofErr w:type="spellEnd"/>
      <w:r w:rsidRPr="00E01D60">
        <w:rPr>
          <w:rFonts w:ascii="Calibri" w:hAnsi="Calibri" w:cs="Calibri"/>
          <w:sz w:val="20"/>
          <w:szCs w:val="20"/>
          <w:lang w:val="en-AU"/>
        </w:rPr>
        <w:t xml:space="preserve"> F (2017) </w:t>
      </w:r>
      <w:proofErr w:type="spellStart"/>
      <w:r w:rsidRPr="00E01D60">
        <w:rPr>
          <w:rFonts w:ascii="Calibri" w:hAnsi="Calibri" w:cs="Calibri"/>
          <w:sz w:val="20"/>
          <w:szCs w:val="20"/>
          <w:lang w:val="en-AU"/>
        </w:rPr>
        <w:t>Comput</w:t>
      </w:r>
      <w:proofErr w:type="spellEnd"/>
      <w:r w:rsidRPr="00E01D60">
        <w:rPr>
          <w:rFonts w:ascii="Calibri" w:hAnsi="Calibri" w:cs="Calibri"/>
          <w:sz w:val="20"/>
          <w:szCs w:val="20"/>
          <w:lang w:val="en-AU"/>
        </w:rPr>
        <w:t xml:space="preserve"> Stat Data Anal 111:203-219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1B18F4"/>
    <w:rsid w:val="002272B0"/>
    <w:rsid w:val="00300B92"/>
    <w:rsid w:val="003238D9"/>
    <w:rsid w:val="00387491"/>
    <w:rsid w:val="00444224"/>
    <w:rsid w:val="00483B05"/>
    <w:rsid w:val="00496B0A"/>
    <w:rsid w:val="004E28B9"/>
    <w:rsid w:val="004E50FC"/>
    <w:rsid w:val="004E5450"/>
    <w:rsid w:val="00550F3E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85303"/>
    <w:rsid w:val="008909C9"/>
    <w:rsid w:val="008C2881"/>
    <w:rsid w:val="00947B77"/>
    <w:rsid w:val="009E2228"/>
    <w:rsid w:val="009F06D6"/>
    <w:rsid w:val="00A266B4"/>
    <w:rsid w:val="00A71DEF"/>
    <w:rsid w:val="00AE2DA6"/>
    <w:rsid w:val="00BC5FCC"/>
    <w:rsid w:val="00C132EC"/>
    <w:rsid w:val="00C60A71"/>
    <w:rsid w:val="00D55F3B"/>
    <w:rsid w:val="00DA2731"/>
    <w:rsid w:val="00E01D60"/>
    <w:rsid w:val="00E25BEF"/>
    <w:rsid w:val="00EF12F3"/>
    <w:rsid w:val="00F02477"/>
    <w:rsid w:val="00F23A1D"/>
    <w:rsid w:val="00F82A3F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50F50"/>
  <w15:chartTrackingRefBased/>
  <w15:docId w15:val="{03F7A75F-CFEC-45CA-9F7F-18377B9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453CA-FDFD-471C-9113-5546AC90CB34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2043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Catherine Sherwin</cp:lastModifiedBy>
  <cp:revision>2</cp:revision>
  <cp:lastPrinted>2013-06-13T07:15:00Z</cp:lastPrinted>
  <dcterms:created xsi:type="dcterms:W3CDTF">2025-09-15T06:58:00Z</dcterms:created>
  <dcterms:modified xsi:type="dcterms:W3CDTF">2025-09-15T06:58:00Z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b6a007cf-9b5b-4dfd-bb5c-7807c5ead8d4</vt:lpwstr>
  </property>
</Properties>
</file>