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A0410">
      <w:pPr>
        <w:pStyle w:val="5"/>
        <w:jc w:val="both"/>
        <w:rPr>
          <w:b/>
        </w:rPr>
      </w:pPr>
      <w:bookmarkStart w:id="0" w:name="_GoBack"/>
      <w:r>
        <w:rPr>
          <w:b/>
          <w:lang w:val="en-GB"/>
        </w:rPr>
        <w:t>Effect</w:t>
      </w:r>
      <w:r>
        <w:rPr>
          <w:b/>
        </w:rPr>
        <w:t xml:space="preserve"> of three-antimalarial therapies on renal function in Nigerian children with Malaria</w:t>
      </w:r>
    </w:p>
    <w:bookmarkEnd w:id="0"/>
    <w:p w14:paraId="4C409152">
      <w:pPr>
        <w:pStyle w:val="5"/>
        <w:jc w:val="both"/>
        <w:rPr>
          <w:rStyle w:val="4"/>
          <w:rFonts w:ascii="Calibri" w:hAnsi="Calibri" w:cs="Calibri"/>
          <w:b w:val="0"/>
          <w:bCs w:val="0"/>
          <w:color w:val="000000" w:themeColor="text1"/>
          <w:vertAlign w:val="superscript"/>
          <w14:textFill>
            <w14:solidFill>
              <w14:schemeClr w14:val="tx1"/>
            </w14:solidFill>
          </w14:textFill>
        </w:rPr>
      </w:pPr>
      <w:r>
        <w:rPr>
          <w:rStyle w:val="4"/>
          <w:rFonts w:ascii="Calibri" w:hAnsi="Calibri" w:cs="Calibri"/>
          <w:b w:val="0"/>
          <w:color w:val="000000" w:themeColor="text1"/>
          <w14:textFill>
            <w14:solidFill>
              <w14:schemeClr w14:val="tx1"/>
            </w14:solidFill>
          </w14:textFill>
        </w:rPr>
        <w:t>Zacchaeus F Olofin</w:t>
      </w:r>
      <w:r>
        <w:rPr>
          <w:rStyle w:val="4"/>
          <w:rFonts w:ascii="Calibri" w:hAnsi="Calibri" w:cs="Calibri"/>
          <w:b w:val="0"/>
          <w:color w:val="000000" w:themeColor="text1"/>
          <w:vertAlign w:val="superscript"/>
          <w14:textFill>
            <w14:solidFill>
              <w14:schemeClr w14:val="tx1"/>
            </w14:solidFill>
          </w14:textFill>
        </w:rPr>
        <w:t>1,2,3</w:t>
      </w:r>
      <w:r>
        <w:rPr>
          <w:rStyle w:val="4"/>
          <w:rFonts w:ascii="Calibri" w:hAnsi="Calibri" w:cs="Calibri"/>
          <w:b w:val="0"/>
          <w:color w:val="000000" w:themeColor="text1"/>
          <w14:textFill>
            <w14:solidFill>
              <w14:schemeClr w14:val="tx1"/>
            </w14:solidFill>
          </w14:textFill>
        </w:rPr>
        <w:t>, Adebola Emmanuel Orimadegun</w:t>
      </w:r>
      <w:r>
        <w:rPr>
          <w:rStyle w:val="4"/>
          <w:rFonts w:ascii="Calibri" w:hAnsi="Calibri" w:cs="Calibri"/>
          <w:b w:val="0"/>
          <w:color w:val="000000" w:themeColor="text1"/>
          <w:vertAlign w:val="superscript"/>
          <w14:textFill>
            <w14:solidFill>
              <w14:schemeClr w14:val="tx1"/>
            </w14:solidFill>
          </w14:textFill>
        </w:rPr>
        <w:t>4</w:t>
      </w:r>
      <w:r>
        <w:rPr>
          <w:rStyle w:val="4"/>
          <w:rFonts w:ascii="Calibri" w:hAnsi="Calibri" w:cs="Calibri"/>
          <w:b w:val="0"/>
          <w:color w:val="000000" w:themeColor="text1"/>
          <w14:textFill>
            <w14:solidFill>
              <w14:schemeClr w14:val="tx1"/>
            </w14:solidFill>
          </w14:textFill>
        </w:rPr>
        <w:t>, Catherine Olufunke Falade</w:t>
      </w:r>
      <w:r>
        <w:rPr>
          <w:rStyle w:val="4"/>
          <w:rFonts w:ascii="Calibri" w:hAnsi="Calibri" w:cs="Calibri"/>
          <w:b w:val="0"/>
          <w:color w:val="000000" w:themeColor="text1"/>
          <w:vertAlign w:val="superscript"/>
          <w14:textFill>
            <w14:solidFill>
              <w14:schemeClr w14:val="tx1"/>
            </w14:solidFill>
          </w14:textFill>
        </w:rPr>
        <w:t xml:space="preserve">1,5,6 </w:t>
      </w:r>
      <w:r>
        <w:rPr>
          <w:rStyle w:val="4"/>
          <w:rFonts w:ascii="Calibri" w:hAnsi="Calibri" w:cs="Calibri"/>
          <w:b w:val="0"/>
          <w:color w:val="000000" w:themeColor="text1"/>
          <w14:textFill>
            <w14:solidFill>
              <w14:schemeClr w14:val="tx1"/>
            </w14:solidFill>
          </w14:textFill>
        </w:rPr>
        <w:t>Dept of Pharmacol and Therap, Coll of Med, Uni of Ibadan, Ibadan, Oyo State, Nigeria</w:t>
      </w:r>
      <w:r>
        <w:rPr>
          <w:rStyle w:val="4"/>
          <w:rFonts w:ascii="Calibri" w:hAnsi="Calibri" w:cs="Calibri"/>
          <w:b w:val="0"/>
          <w:color w:val="000000" w:themeColor="text1"/>
          <w:vertAlign w:val="superscript"/>
          <w14:textFill>
            <w14:solidFill>
              <w14:schemeClr w14:val="tx1"/>
            </w14:solidFill>
          </w14:textFill>
        </w:rPr>
        <w:t>1</w:t>
      </w:r>
      <w:r>
        <w:rPr>
          <w:rStyle w:val="4"/>
          <w:rFonts w:ascii="Calibri" w:hAnsi="Calibri" w:cs="Calibri"/>
          <w:b w:val="0"/>
          <w:color w:val="000000" w:themeColor="text1"/>
          <w14:textFill>
            <w14:solidFill>
              <w14:schemeClr w14:val="tx1"/>
            </w14:solidFill>
          </w14:textFill>
        </w:rPr>
        <w:t>, Dept of Pharmacol and Therap, Coll of Med, Lead City Uni, Ibadan, Oyo State, Nigeria</w:t>
      </w:r>
      <w:r>
        <w:rPr>
          <w:rStyle w:val="4"/>
          <w:rFonts w:ascii="Calibri" w:hAnsi="Calibri" w:cs="Calibri"/>
          <w:b w:val="0"/>
          <w:color w:val="000000" w:themeColor="text1"/>
          <w:vertAlign w:val="superscript"/>
          <w14:textFill>
            <w14:solidFill>
              <w14:schemeClr w14:val="tx1"/>
            </w14:solidFill>
          </w14:textFill>
        </w:rPr>
        <w:t>2</w:t>
      </w:r>
      <w:r>
        <w:rPr>
          <w:rStyle w:val="4"/>
          <w:rFonts w:ascii="Calibri" w:hAnsi="Calibri" w:cs="Calibri"/>
          <w:b w:val="0"/>
          <w:color w:val="000000" w:themeColor="text1"/>
          <w14:textFill>
            <w14:solidFill>
              <w14:schemeClr w14:val="tx1"/>
            </w14:solidFill>
          </w14:textFill>
        </w:rPr>
        <w:t>, Lead City Uni Teach Hospi, Ibadan, Oyo State Nigeria</w:t>
      </w:r>
      <w:r>
        <w:rPr>
          <w:rStyle w:val="4"/>
          <w:rFonts w:ascii="Calibri" w:hAnsi="Calibri" w:cs="Calibri"/>
          <w:b w:val="0"/>
          <w:color w:val="000000" w:themeColor="text1"/>
          <w:vertAlign w:val="superscript"/>
          <w14:textFill>
            <w14:solidFill>
              <w14:schemeClr w14:val="tx1"/>
            </w14:solidFill>
          </w14:textFill>
        </w:rPr>
        <w:t>3</w:t>
      </w:r>
      <w:r>
        <w:rPr>
          <w:rStyle w:val="4"/>
          <w:rFonts w:ascii="Calibri" w:hAnsi="Calibri" w:cs="Calibri"/>
          <w:b w:val="0"/>
          <w:bCs w:val="0"/>
          <w:color w:val="000000" w:themeColor="text1"/>
          <w14:textFill>
            <w14:solidFill>
              <w14:schemeClr w14:val="tx1"/>
            </w14:solidFill>
          </w14:textFill>
        </w:rPr>
        <w:t>, Instit of Child Heal, Coll of Med, Uni of Ibadan, Ibadan, Oyo State Nigeria</w:t>
      </w:r>
      <w:r>
        <w:rPr>
          <w:rStyle w:val="4"/>
          <w:rFonts w:ascii="Calibri" w:hAnsi="Calibri" w:cs="Calibri"/>
          <w:b w:val="0"/>
          <w:bCs w:val="0"/>
          <w:color w:val="000000" w:themeColor="text1"/>
          <w:vertAlign w:val="superscript"/>
          <w14:textFill>
            <w14:solidFill>
              <w14:schemeClr w14:val="tx1"/>
            </w14:solidFill>
          </w14:textFill>
        </w:rPr>
        <w:t>4</w:t>
      </w:r>
      <w:r>
        <w:rPr>
          <w:rStyle w:val="4"/>
          <w:rFonts w:ascii="Calibri" w:hAnsi="Calibri" w:cs="Calibri"/>
          <w:b w:val="0"/>
          <w:bCs w:val="0"/>
          <w:color w:val="000000" w:themeColor="text1"/>
          <w14:textFill>
            <w14:solidFill>
              <w14:schemeClr w14:val="tx1"/>
            </w14:solidFill>
          </w14:textFill>
        </w:rPr>
        <w:t>, Instit for Advan Medic Resear and Train, Coll of Med, Uni. of Ibadan, Ibadan, Oyo State, Nigeria</w:t>
      </w:r>
      <w:r>
        <w:rPr>
          <w:rStyle w:val="4"/>
          <w:rFonts w:ascii="Calibri" w:hAnsi="Calibri" w:cs="Calibri"/>
          <w:b w:val="0"/>
          <w:bCs w:val="0"/>
          <w:color w:val="000000" w:themeColor="text1"/>
          <w:vertAlign w:val="superscript"/>
          <w14:textFill>
            <w14:solidFill>
              <w14:schemeClr w14:val="tx1"/>
            </w14:solidFill>
          </w14:textFill>
        </w:rPr>
        <w:t>5</w:t>
      </w:r>
      <w:r>
        <w:rPr>
          <w:rStyle w:val="4"/>
          <w:rFonts w:ascii="Calibri" w:hAnsi="Calibri" w:cs="Calibri"/>
          <w:b w:val="0"/>
          <w:bCs w:val="0"/>
          <w:color w:val="000000" w:themeColor="text1"/>
          <w14:textFill>
            <w14:solidFill>
              <w14:schemeClr w14:val="tx1"/>
            </w14:solidFill>
          </w14:textFill>
        </w:rPr>
        <w:t>, Dept. of Clin. Pharmacol. Uni Coll Hosp, Ibadan, Oyo State, Nigeria</w:t>
      </w:r>
      <w:r>
        <w:rPr>
          <w:rStyle w:val="4"/>
          <w:rFonts w:ascii="Calibri" w:hAnsi="Calibri" w:cs="Calibri"/>
          <w:b w:val="0"/>
          <w:bCs w:val="0"/>
          <w:color w:val="000000" w:themeColor="text1"/>
          <w:vertAlign w:val="superscript"/>
          <w14:textFill>
            <w14:solidFill>
              <w14:schemeClr w14:val="tx1"/>
            </w14:solidFill>
          </w14:textFill>
        </w:rPr>
        <w:t>6</w:t>
      </w:r>
    </w:p>
    <w:p w14:paraId="6A735CE9">
      <w:pPr>
        <w:pStyle w:val="5"/>
        <w:jc w:val="both"/>
        <w:rPr>
          <w:rFonts w:ascii="Calibri" w:hAnsi="Calibri" w:cs="Calibri"/>
          <w:color w:val="000000" w:themeColor="text1"/>
          <w:vertAlign w:val="superscript"/>
          <w14:textFill>
            <w14:solidFill>
              <w14:schemeClr w14:val="tx1"/>
            </w14:solidFill>
          </w14:textFill>
        </w:rPr>
      </w:pPr>
    </w:p>
    <w:p w14:paraId="7C1B5123">
      <w:pPr>
        <w:pStyle w:val="5"/>
        <w:jc w:val="both"/>
      </w:pPr>
      <w:r>
        <w:rPr>
          <w:b/>
          <w:lang w:val="en-GB"/>
        </w:rPr>
        <w:t>Introduction</w:t>
      </w:r>
      <w:r>
        <w:rPr>
          <w:b/>
        </w:rPr>
        <w:t>:</w:t>
      </w:r>
      <w:r>
        <w:rPr>
          <w:b/>
          <w:lang w:val="en-GB"/>
        </w:rPr>
        <w:t xml:space="preserve"> </w:t>
      </w:r>
      <w:r>
        <w:t>Antimalarial therapy has been associated with renal function derangements, often attributed to drug-induced nephrotoxicity. However, it remains uncertain whether these changes persist following treatment completion. This study investigates the impact of three antimalarial therapies—artemether-lumefantrine (AL), atovaquone-proguanil (A</w:t>
      </w:r>
      <w:r>
        <w:rPr>
          <w:lang w:val="en-GB"/>
        </w:rPr>
        <w:t>/</w:t>
      </w:r>
      <w:r>
        <w:t xml:space="preserve">P), and chloroquine (CQ)—on renal function in Nigerian children with uncomplicated </w:t>
      </w:r>
      <w:r>
        <w:rPr>
          <w:i/>
          <w:iCs/>
        </w:rPr>
        <w:t>Plasmodium falciparum</w:t>
      </w:r>
      <w:r>
        <w:t xml:space="preserve"> infection. </w:t>
      </w:r>
    </w:p>
    <w:p w14:paraId="545E5AF0">
      <w:pPr>
        <w:pStyle w:val="5"/>
        <w:jc w:val="both"/>
      </w:pPr>
      <w:r>
        <w:rPr>
          <w:b/>
        </w:rPr>
        <w:t>Aim:</w:t>
      </w:r>
      <w:r>
        <w:t xml:space="preserve"> To evaluate changes in renal function, as indicated by serum creatinine levels, during and after treatment with AL, AP, and CQ.</w:t>
      </w:r>
    </w:p>
    <w:p w14:paraId="4F9AB9CC">
      <w:pPr>
        <w:pStyle w:val="5"/>
        <w:jc w:val="both"/>
      </w:pPr>
      <w:r>
        <w:rPr>
          <w:b/>
        </w:rPr>
        <w:t>Methods:</w:t>
      </w:r>
      <w:r>
        <w:t xml:space="preserve"> This retrospective pharmacoepidemiological analysis utilized clinical trial data collected between 1998 and 2002 from children aged 3–119 months who participated in antimalarial drug efficacy studies conducted in Southwest Nigeria. A total of 128 case records were analyzed. Changes in serum creatinine levels from baseline to the 28-day follow-up were compared among children treated with artemether-lumefantrine (AL, </w:t>
      </w:r>
      <w:r>
        <w:rPr>
          <w:i/>
          <w:iCs/>
        </w:rPr>
        <w:t>n</w:t>
      </w:r>
      <w:r>
        <w:t xml:space="preserve"> = 73), atovaquone-proguanil (AP, </w:t>
      </w:r>
      <w:r>
        <w:rPr>
          <w:i/>
          <w:iCs/>
        </w:rPr>
        <w:t>n</w:t>
      </w:r>
      <w:r>
        <w:t xml:space="preserve"> = 32), and chloroquine (CQ, </w:t>
      </w:r>
      <w:r>
        <w:rPr>
          <w:i/>
          <w:iCs/>
        </w:rPr>
        <w:t>n</w:t>
      </w:r>
      <w:r>
        <w:t xml:space="preserve"> = 23). A general linear model (GLM) was employed for repeated measures analysis.</w:t>
      </w:r>
    </w:p>
    <w:p w14:paraId="1E097D10">
      <w:pPr>
        <w:pStyle w:val="5"/>
        <w:jc w:val="both"/>
      </w:pPr>
      <w:r>
        <w:rPr>
          <w:b/>
        </w:rPr>
        <w:t>Results:</w:t>
      </w:r>
      <w:r>
        <w:t xml:space="preserve"> The median age of the participants was 26 months (interquartile range: 17.0–39.8), with 52% being female. Over the 28-day follow-up period, the AL group demonstrated a statistically significant reduction in serum creatinine levels, decreasing from a baseline mean of 1.27 ± 0.37 mg/dL to 1.07 ± 0.48 mg/dL at day 28 (mean difference: –0.20 mg/dL, 95% CI: –0.30 to –0.10, </w:t>
      </w:r>
      <w:r>
        <w:rPr>
          <w:i/>
          <w:iCs/>
        </w:rPr>
        <w:t>p</w:t>
      </w:r>
      <w:r>
        <w:t xml:space="preserve"> = 0.001). In contrast, the A/P group showed a non-significant increase from 1.16 ± 0.34 mg/dL at baseline to 1.20 ± 0.41 mg/dL at day 28 (</w:t>
      </w:r>
      <w:r>
        <w:rPr>
          <w:i/>
          <w:iCs/>
        </w:rPr>
        <w:t>p</w:t>
      </w:r>
      <w:r>
        <w:t xml:space="preserve"> = 0.480), while the CQ group also showed a non-significant rise from 1.15 ± 0.29 mg/dL to 1.34 ± 0.36 mg/dL (</w:t>
      </w:r>
      <w:r>
        <w:rPr>
          <w:i/>
          <w:iCs/>
        </w:rPr>
        <w:t>p</w:t>
      </w:r>
      <w:r>
        <w:t xml:space="preserve"> = 0.145). Overall, treatment with AL significantly improved renal function, whereas AP and CQ had no notable impact.</w:t>
      </w:r>
    </w:p>
    <w:p w14:paraId="01BD2A28">
      <w:pPr>
        <w:pStyle w:val="5"/>
        <w:jc w:val="both"/>
      </w:pPr>
      <w:r>
        <w:rPr>
          <w:b/>
          <w:lang w:val="en-GB"/>
        </w:rPr>
        <w:t>Discussion</w:t>
      </w:r>
      <w:r>
        <w:rPr>
          <w:b/>
        </w:rPr>
        <w:t>:</w:t>
      </w:r>
      <w:r>
        <w:t xml:space="preserve"> Among the three antimalarial therapies studied, AL demonstrated superior renal function improvement in children, suggesting it as the preferred option for those with renal impairment. Further studies are recommended to confirm these findings and guide treatment decisions.</w:t>
      </w:r>
    </w:p>
    <w:sectPr>
      <w:pgSz w:w="8390" w:h="11905"/>
      <w:pgMar w:top="1440" w:right="1800" w:bottom="1440" w:left="1800" w:header="720" w:footer="720" w:gutter="0"/>
      <w:paperSrc/>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91DDF"/>
    <w:rsid w:val="007F7831"/>
    <w:rsid w:val="008400DC"/>
    <w:rsid w:val="00F130BF"/>
    <w:rsid w:val="31A91DDF"/>
    <w:rsid w:val="6D6E4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0"/>
    <w:rPr>
      <w:b/>
      <w:bCs/>
    </w:rPr>
  </w:style>
  <w:style w:type="paragraph" w:styleId="5">
    <w:name w:val="No Spacing"/>
    <w:qFormat/>
    <w:uiPriority w:val="1"/>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427</Words>
  <Characters>2438</Characters>
  <Lines>20</Lines>
  <Paragraphs>5</Paragraphs>
  <TotalTime>11</TotalTime>
  <ScaleCrop>false</ScaleCrop>
  <LinksUpToDate>false</LinksUpToDate>
  <CharactersWithSpaces>2860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2025-08-31T13:52:00Z</dcterms:created>
  <dc:creator>zacch</dc:creator>
  <cp:lastModifiedBy>zacch</cp:lastModifiedBy>
  <dcterms:modified xsi:type="dcterms:W3CDTF">2025-08-31T14:11:22Z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1045AAD7724F462282CFFEC901CA83F3_11</vt:lpwstr>
  </property>
</Properties>
</file>