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372F7ACE" w:rsidR="00711813" w:rsidRPr="00EF127F" w:rsidRDefault="000D2948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Liposomes as fuel for micromotors</w:t>
      </w:r>
    </w:p>
    <w:p w14:paraId="57C45AC5" w14:textId="77777777" w:rsidR="00DF1C8E" w:rsidRPr="00EF127F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GB"/>
        </w:rPr>
      </w:pPr>
    </w:p>
    <w:p w14:paraId="22DB1634" w14:textId="5933B0C6" w:rsidR="00DF1C8E" w:rsidRPr="00474E60" w:rsidRDefault="004C3392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 w:rsidRPr="00474E60">
        <w:rPr>
          <w:rFonts w:ascii="Calibri" w:hAnsi="Calibri" w:cs="Calibri"/>
          <w:i/>
          <w:lang w:val="en-AU"/>
        </w:rPr>
        <w:t xml:space="preserve">Federico </w:t>
      </w:r>
      <w:proofErr w:type="spellStart"/>
      <w:proofErr w:type="gramStart"/>
      <w:r w:rsidRPr="00474E60">
        <w:rPr>
          <w:rFonts w:ascii="Calibri" w:hAnsi="Calibri" w:cs="Calibri"/>
          <w:i/>
          <w:lang w:val="en-AU"/>
        </w:rPr>
        <w:t>Mazur</w:t>
      </w:r>
      <w:r w:rsidRPr="00474E60">
        <w:rPr>
          <w:rFonts w:ascii="Calibri" w:hAnsi="Calibri" w:cs="Calibri"/>
          <w:i/>
          <w:vertAlign w:val="superscript"/>
          <w:lang w:val="en-AU"/>
        </w:rPr>
        <w:t>A,B</w:t>
      </w:r>
      <w:proofErr w:type="spellEnd"/>
      <w:proofErr w:type="gramEnd"/>
      <w:r w:rsidRPr="00474E60">
        <w:rPr>
          <w:rFonts w:ascii="Calibri" w:hAnsi="Calibri" w:cs="Calibri"/>
          <w:i/>
          <w:lang w:val="en-AU"/>
        </w:rPr>
        <w:t>, Marina Fernández-</w:t>
      </w:r>
      <w:proofErr w:type="spellStart"/>
      <w:r w:rsidRPr="00474E60">
        <w:rPr>
          <w:rFonts w:ascii="Calibri" w:hAnsi="Calibri" w:cs="Calibri"/>
          <w:i/>
          <w:lang w:val="en-AU"/>
        </w:rPr>
        <w:t>Medina</w:t>
      </w:r>
      <w:r w:rsidRPr="00474E60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474E60">
        <w:rPr>
          <w:rFonts w:ascii="Calibri" w:hAnsi="Calibri" w:cs="Calibri"/>
          <w:i/>
          <w:lang w:val="en-AU"/>
        </w:rPr>
        <w:t xml:space="preserve">, Rona </w:t>
      </w:r>
      <w:proofErr w:type="spellStart"/>
      <w:r w:rsidRPr="00474E60">
        <w:rPr>
          <w:rFonts w:ascii="Calibri" w:hAnsi="Calibri" w:cs="Calibri"/>
          <w:i/>
          <w:lang w:val="en-AU"/>
        </w:rPr>
        <w:t>Chandrawati</w:t>
      </w:r>
      <w:r w:rsidRPr="00474E60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Pr="00474E60">
        <w:rPr>
          <w:rFonts w:ascii="Calibri" w:hAnsi="Calibri" w:cs="Calibri"/>
          <w:i/>
          <w:lang w:val="en-AU"/>
        </w:rPr>
        <w:t xml:space="preserve">, Brigitte </w:t>
      </w:r>
      <w:proofErr w:type="spellStart"/>
      <w:r w:rsidRPr="00474E60">
        <w:rPr>
          <w:rFonts w:ascii="Calibri" w:hAnsi="Calibri" w:cs="Calibri"/>
          <w:i/>
          <w:lang w:val="en-AU"/>
        </w:rPr>
        <w:t>Städler</w:t>
      </w:r>
      <w:r w:rsidRPr="00474E60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31479071" w14:textId="77777777" w:rsidR="00997C34" w:rsidRPr="00474E60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74547A08" w14:textId="435CBBF8" w:rsidR="004C3392" w:rsidRPr="00EF127F" w:rsidRDefault="005F19FF" w:rsidP="004C3392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GB"/>
        </w:rPr>
      </w:pPr>
      <w:proofErr w:type="spellStart"/>
      <w:r w:rsidRPr="00EF127F">
        <w:rPr>
          <w:rFonts w:ascii="Calibri" w:hAnsi="Calibri" w:cs="Calibri"/>
          <w:sz w:val="22"/>
          <w:szCs w:val="22"/>
          <w:vertAlign w:val="superscript"/>
          <w:lang w:val="en-GB"/>
        </w:rPr>
        <w:t>A</w:t>
      </w:r>
      <w:r w:rsidR="004C3392" w:rsidRPr="00EF127F">
        <w:rPr>
          <w:rFonts w:ascii="Calibri" w:hAnsi="Calibri" w:cs="Calibri"/>
          <w:sz w:val="22"/>
          <w:szCs w:val="22"/>
          <w:lang w:val="en-GB"/>
        </w:rPr>
        <w:t>Interdisciplinary</w:t>
      </w:r>
      <w:proofErr w:type="spellEnd"/>
      <w:r w:rsidR="004C3392" w:rsidRPr="00EF127F">
        <w:rPr>
          <w:rFonts w:ascii="Calibri" w:hAnsi="Calibri" w:cs="Calibri"/>
          <w:sz w:val="22"/>
          <w:szCs w:val="22"/>
          <w:lang w:val="en-GB"/>
        </w:rPr>
        <w:t xml:space="preserve"> Nanoscience </w:t>
      </w:r>
      <w:proofErr w:type="spellStart"/>
      <w:r w:rsidR="004C3392" w:rsidRPr="00EF127F">
        <w:rPr>
          <w:rFonts w:ascii="Calibri" w:hAnsi="Calibri" w:cs="Calibri"/>
          <w:sz w:val="22"/>
          <w:szCs w:val="22"/>
          <w:lang w:val="en-GB"/>
        </w:rPr>
        <w:t>Center</w:t>
      </w:r>
      <w:proofErr w:type="spellEnd"/>
      <w:r w:rsidR="004C3392" w:rsidRPr="00EF127F">
        <w:rPr>
          <w:rFonts w:ascii="Calibri" w:hAnsi="Calibri" w:cs="Calibri"/>
          <w:sz w:val="22"/>
          <w:szCs w:val="22"/>
          <w:lang w:val="en-GB"/>
        </w:rPr>
        <w:t xml:space="preserve"> (</w:t>
      </w:r>
      <w:proofErr w:type="spellStart"/>
      <w:r w:rsidR="004C3392" w:rsidRPr="00EF127F">
        <w:rPr>
          <w:rFonts w:ascii="Calibri" w:hAnsi="Calibri" w:cs="Calibri"/>
          <w:sz w:val="22"/>
          <w:szCs w:val="22"/>
          <w:lang w:val="en-GB"/>
        </w:rPr>
        <w:t>iNANO</w:t>
      </w:r>
      <w:proofErr w:type="spellEnd"/>
      <w:r w:rsidR="004C3392" w:rsidRPr="00EF127F">
        <w:rPr>
          <w:rFonts w:ascii="Calibri" w:hAnsi="Calibri" w:cs="Calibri"/>
          <w:sz w:val="22"/>
          <w:szCs w:val="22"/>
          <w:lang w:val="en-GB"/>
        </w:rPr>
        <w:t xml:space="preserve">), Aarhus University, Aarhus, Denmark; </w:t>
      </w:r>
      <w:proofErr w:type="spellStart"/>
      <w:r w:rsidR="004C3392" w:rsidRPr="00EF127F">
        <w:rPr>
          <w:rFonts w:ascii="Calibri" w:hAnsi="Calibri" w:cs="Calibri"/>
          <w:sz w:val="22"/>
          <w:szCs w:val="22"/>
          <w:vertAlign w:val="superscript"/>
          <w:lang w:val="en-GB"/>
        </w:rPr>
        <w:t>B</w:t>
      </w:r>
      <w:r w:rsidR="004C3392" w:rsidRPr="00EF127F">
        <w:rPr>
          <w:rFonts w:ascii="Calibri" w:hAnsi="Calibri" w:cs="Calibri"/>
          <w:sz w:val="22"/>
          <w:szCs w:val="22"/>
          <w:lang w:val="en-GB"/>
        </w:rPr>
        <w:t>School</w:t>
      </w:r>
      <w:proofErr w:type="spellEnd"/>
      <w:r w:rsidR="004C3392" w:rsidRPr="00EF127F">
        <w:rPr>
          <w:rFonts w:ascii="Calibri" w:hAnsi="Calibri" w:cs="Calibri"/>
          <w:sz w:val="22"/>
          <w:szCs w:val="22"/>
          <w:lang w:val="en-GB"/>
        </w:rPr>
        <w:t xml:space="preserve"> of Chemical Engineering and Australian Centre for </w:t>
      </w:r>
      <w:proofErr w:type="spellStart"/>
      <w:r w:rsidR="004C3392" w:rsidRPr="00EF127F">
        <w:rPr>
          <w:rFonts w:ascii="Calibri" w:hAnsi="Calibri" w:cs="Calibri"/>
          <w:sz w:val="22"/>
          <w:szCs w:val="22"/>
          <w:lang w:val="en-GB"/>
        </w:rPr>
        <w:t>NanoMedicine</w:t>
      </w:r>
      <w:proofErr w:type="spellEnd"/>
      <w:r w:rsidR="004C3392" w:rsidRPr="00EF127F">
        <w:rPr>
          <w:rFonts w:ascii="Calibri" w:hAnsi="Calibri" w:cs="Calibri"/>
          <w:sz w:val="22"/>
          <w:szCs w:val="22"/>
          <w:lang w:val="en-GB"/>
        </w:rPr>
        <w:t xml:space="preserve"> (ACN), The University of New South Wales, Sydney, Australia</w:t>
      </w:r>
    </w:p>
    <w:p w14:paraId="4162E0AF" w14:textId="0F656560" w:rsidR="004C3392" w:rsidRPr="00EF127F" w:rsidRDefault="004C3392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GB"/>
        </w:rPr>
      </w:pPr>
    </w:p>
    <w:p w14:paraId="53F87803" w14:textId="3B9F0F7C" w:rsidR="00B30861" w:rsidRPr="00EF127F" w:rsidRDefault="00B30861" w:rsidP="009A4CFF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EF127F">
        <w:rPr>
          <w:rFonts w:ascii="Calibri" w:hAnsi="Calibri" w:cs="Calibri"/>
          <w:b/>
          <w:bCs/>
          <w:sz w:val="22"/>
          <w:szCs w:val="22"/>
          <w:lang w:val="en-GB"/>
        </w:rPr>
        <w:t>Introduction</w:t>
      </w:r>
    </w:p>
    <w:p w14:paraId="4B2A5D7A" w14:textId="488C7D08" w:rsidR="004C3392" w:rsidRPr="00EF127F" w:rsidRDefault="004C339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GB"/>
        </w:rPr>
      </w:pPr>
      <w:r w:rsidRPr="00EF127F">
        <w:rPr>
          <w:rFonts w:ascii="Calibri" w:hAnsi="Calibri" w:cs="Calibri"/>
          <w:sz w:val="22"/>
          <w:szCs w:val="22"/>
          <w:lang w:val="en-GB"/>
        </w:rPr>
        <w:t>Micromotors are objects capable of autonomous movement in liquid environments</w:t>
      </w:r>
      <w:r w:rsidR="00B90C8D" w:rsidRPr="00EF127F">
        <w:rPr>
          <w:rFonts w:ascii="Calibri" w:hAnsi="Calibri" w:cs="Calibri"/>
          <w:sz w:val="22"/>
          <w:szCs w:val="22"/>
          <w:lang w:val="en-GB"/>
        </w:rPr>
        <w:t xml:space="preserve">. </w:t>
      </w:r>
      <w:r w:rsidR="00EF127F" w:rsidRPr="00EF127F">
        <w:rPr>
          <w:rFonts w:ascii="Calibri" w:hAnsi="Calibri" w:cs="Calibri"/>
          <w:sz w:val="22"/>
          <w:szCs w:val="22"/>
          <w:lang w:val="en-GB"/>
        </w:rPr>
        <w:t xml:space="preserve">Their applications include environmental decontamination, building blocks for sensors and biomedical delivery vehicles, among others. </w:t>
      </w:r>
      <w:r w:rsidR="000D2948">
        <w:rPr>
          <w:rFonts w:ascii="Calibri" w:hAnsi="Calibri" w:cs="Calibri"/>
          <w:sz w:val="22"/>
          <w:szCs w:val="22"/>
          <w:lang w:val="en-GB"/>
        </w:rPr>
        <w:t xml:space="preserve">Micromotors can be driven by a variety of mechanisms including </w:t>
      </w:r>
      <w:r w:rsidR="00746C98">
        <w:rPr>
          <w:rFonts w:ascii="Calibri" w:hAnsi="Calibri" w:cs="Calibri"/>
          <w:sz w:val="22"/>
          <w:szCs w:val="22"/>
          <w:lang w:val="en-GB"/>
        </w:rPr>
        <w:t>the most commonly used H</w:t>
      </w:r>
      <w:r w:rsidR="00746C98" w:rsidRPr="00474E60">
        <w:rPr>
          <w:rFonts w:ascii="Calibri" w:hAnsi="Calibri" w:cs="Calibri"/>
          <w:sz w:val="22"/>
          <w:szCs w:val="22"/>
          <w:vertAlign w:val="subscript"/>
          <w:lang w:val="en-GB"/>
        </w:rPr>
        <w:t>2</w:t>
      </w:r>
      <w:r w:rsidR="00746C98">
        <w:rPr>
          <w:rFonts w:ascii="Calibri" w:hAnsi="Calibri" w:cs="Calibri"/>
          <w:sz w:val="22"/>
          <w:szCs w:val="22"/>
          <w:lang w:val="en-GB"/>
        </w:rPr>
        <w:t>O</w:t>
      </w:r>
      <w:r w:rsidR="00746C98" w:rsidRPr="00474E60">
        <w:rPr>
          <w:rFonts w:ascii="Calibri" w:hAnsi="Calibri" w:cs="Calibri"/>
          <w:sz w:val="22"/>
          <w:szCs w:val="22"/>
          <w:vertAlign w:val="subscript"/>
          <w:lang w:val="en-GB"/>
        </w:rPr>
        <w:t>2</w:t>
      </w:r>
      <w:r w:rsidR="00746C98">
        <w:rPr>
          <w:rFonts w:ascii="Calibri" w:hAnsi="Calibri" w:cs="Calibri"/>
          <w:sz w:val="22"/>
          <w:szCs w:val="22"/>
          <w:lang w:val="en-GB"/>
        </w:rPr>
        <w:t xml:space="preserve"> or </w:t>
      </w:r>
      <w:r w:rsidR="000D2948">
        <w:rPr>
          <w:rFonts w:ascii="Calibri" w:hAnsi="Calibri" w:cs="Calibri"/>
          <w:sz w:val="22"/>
          <w:szCs w:val="22"/>
          <w:lang w:val="en-GB"/>
        </w:rPr>
        <w:t xml:space="preserve">the disintegration of their building blocks </w:t>
      </w:r>
      <w:r w:rsidR="00BD5C69" w:rsidRPr="00EF127F">
        <w:rPr>
          <w:rFonts w:ascii="Calibri" w:hAnsi="Calibri" w:cs="Calibri"/>
          <w:sz w:val="22"/>
          <w:szCs w:val="22"/>
          <w:lang w:val="en-GB"/>
        </w:rPr>
        <w:t>(</w:t>
      </w:r>
      <w:r w:rsidR="000D2948" w:rsidRPr="000D2948">
        <w:rPr>
          <w:rFonts w:ascii="Calibri" w:hAnsi="Calibri" w:cs="Calibri"/>
          <w:sz w:val="22"/>
          <w:szCs w:val="22"/>
          <w:lang w:val="en-GB"/>
        </w:rPr>
        <w:t xml:space="preserve">Fernández-Medina </w:t>
      </w:r>
      <w:r w:rsidR="00BD5C69" w:rsidRPr="000D2948">
        <w:rPr>
          <w:rFonts w:ascii="Calibri" w:hAnsi="Calibri" w:cs="Calibri"/>
          <w:i/>
          <w:iCs/>
          <w:sz w:val="22"/>
          <w:szCs w:val="22"/>
          <w:lang w:val="en-GB"/>
        </w:rPr>
        <w:t xml:space="preserve">et </w:t>
      </w:r>
      <w:r w:rsidR="00BD5C69" w:rsidRPr="00EF127F">
        <w:rPr>
          <w:rFonts w:ascii="Calibri" w:hAnsi="Calibri" w:cs="Calibri"/>
          <w:i/>
          <w:iCs/>
          <w:sz w:val="22"/>
          <w:szCs w:val="22"/>
          <w:lang w:val="en-GB"/>
        </w:rPr>
        <w:t>al.</w:t>
      </w:r>
      <w:r w:rsidR="00BD5C69" w:rsidRPr="00EF127F">
        <w:rPr>
          <w:rFonts w:ascii="Calibri" w:hAnsi="Calibri" w:cs="Calibri"/>
          <w:sz w:val="22"/>
          <w:szCs w:val="22"/>
          <w:lang w:val="en-GB"/>
        </w:rPr>
        <w:t xml:space="preserve"> (201</w:t>
      </w:r>
      <w:r w:rsidR="000D2948">
        <w:rPr>
          <w:rFonts w:ascii="Calibri" w:hAnsi="Calibri" w:cs="Calibri"/>
          <w:sz w:val="22"/>
          <w:szCs w:val="22"/>
          <w:lang w:val="en-GB"/>
        </w:rPr>
        <w:t>9</w:t>
      </w:r>
      <w:r w:rsidR="00BD5C69" w:rsidRPr="00EF127F">
        <w:rPr>
          <w:rFonts w:ascii="Calibri" w:hAnsi="Calibri" w:cs="Calibri"/>
          <w:sz w:val="22"/>
          <w:szCs w:val="22"/>
          <w:lang w:val="en-GB"/>
        </w:rPr>
        <w:t>))</w:t>
      </w:r>
      <w:r w:rsidR="001B7570" w:rsidRPr="00EF127F">
        <w:rPr>
          <w:rFonts w:ascii="Calibri" w:hAnsi="Calibri" w:cs="Calibri"/>
          <w:sz w:val="22"/>
          <w:szCs w:val="22"/>
          <w:lang w:val="en-GB"/>
        </w:rPr>
        <w:t>.</w:t>
      </w:r>
      <w:r w:rsidR="002F27AE" w:rsidRPr="00EF127F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CB4188">
        <w:rPr>
          <w:rFonts w:ascii="Calibri" w:hAnsi="Calibri" w:cs="Calibri"/>
          <w:sz w:val="22"/>
          <w:szCs w:val="22"/>
          <w:lang w:val="en-GB"/>
        </w:rPr>
        <w:t>Complementar</w:t>
      </w:r>
      <w:r w:rsidR="00474E60">
        <w:rPr>
          <w:rFonts w:ascii="Calibri" w:hAnsi="Calibri" w:cs="Calibri"/>
          <w:sz w:val="22"/>
          <w:szCs w:val="22"/>
          <w:lang w:val="en-GB"/>
        </w:rPr>
        <w:t>il</w:t>
      </w:r>
      <w:r w:rsidR="00CB4188">
        <w:rPr>
          <w:rFonts w:ascii="Calibri" w:hAnsi="Calibri" w:cs="Calibri"/>
          <w:sz w:val="22"/>
          <w:szCs w:val="22"/>
          <w:lang w:val="en-GB"/>
        </w:rPr>
        <w:t>y</w:t>
      </w:r>
      <w:r w:rsidR="002F27AE" w:rsidRPr="00EF127F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E93E49" w:rsidRPr="00EF127F">
        <w:rPr>
          <w:rFonts w:ascii="Calibri" w:hAnsi="Calibri" w:cs="Calibri"/>
          <w:sz w:val="22"/>
          <w:szCs w:val="22"/>
          <w:lang w:val="en-GB"/>
        </w:rPr>
        <w:t xml:space="preserve">we developed </w:t>
      </w:r>
      <w:r w:rsidR="002F27AE" w:rsidRPr="00EF127F">
        <w:rPr>
          <w:rFonts w:ascii="Calibri" w:hAnsi="Calibri" w:cs="Calibri"/>
          <w:sz w:val="22"/>
          <w:szCs w:val="22"/>
          <w:lang w:val="en-GB"/>
        </w:rPr>
        <w:t xml:space="preserve">a micromotor </w:t>
      </w:r>
      <w:r w:rsidR="004C3FE8" w:rsidRPr="00EF127F">
        <w:rPr>
          <w:rFonts w:ascii="Calibri" w:hAnsi="Calibri" w:cs="Calibri"/>
          <w:sz w:val="22"/>
          <w:szCs w:val="22"/>
          <w:lang w:val="en-GB"/>
        </w:rPr>
        <w:t>fuelled by a</w:t>
      </w:r>
      <w:r w:rsidR="00E93E49" w:rsidRPr="00EF127F">
        <w:rPr>
          <w:rFonts w:ascii="Calibri" w:hAnsi="Calibri" w:cs="Calibri"/>
          <w:sz w:val="22"/>
          <w:szCs w:val="22"/>
          <w:lang w:val="en-GB"/>
        </w:rPr>
        <w:t xml:space="preserve"> non-toxic material, liposomes</w:t>
      </w:r>
      <w:r w:rsidR="00BD5C69" w:rsidRPr="00EF127F">
        <w:rPr>
          <w:rFonts w:ascii="Calibri" w:hAnsi="Calibri" w:cs="Calibri"/>
          <w:sz w:val="22"/>
          <w:szCs w:val="22"/>
          <w:lang w:val="en-GB"/>
        </w:rPr>
        <w:t xml:space="preserve"> (Mazur </w:t>
      </w:r>
      <w:r w:rsidR="00BD5C69" w:rsidRPr="00EF127F">
        <w:rPr>
          <w:rFonts w:ascii="Calibri" w:hAnsi="Calibri" w:cs="Calibri"/>
          <w:i/>
          <w:iCs/>
          <w:sz w:val="22"/>
          <w:szCs w:val="22"/>
          <w:lang w:val="en-GB"/>
        </w:rPr>
        <w:t>et al.</w:t>
      </w:r>
      <w:r w:rsidR="00BD5C69" w:rsidRPr="00EF127F">
        <w:rPr>
          <w:rFonts w:ascii="Calibri" w:hAnsi="Calibri" w:cs="Calibri"/>
          <w:sz w:val="22"/>
          <w:szCs w:val="22"/>
          <w:lang w:val="en-GB"/>
        </w:rPr>
        <w:t xml:space="preserve"> (2017))</w:t>
      </w:r>
      <w:r w:rsidR="00E93E49" w:rsidRPr="00EF127F">
        <w:rPr>
          <w:rFonts w:ascii="Calibri" w:hAnsi="Calibri" w:cs="Calibri"/>
          <w:sz w:val="22"/>
          <w:szCs w:val="22"/>
          <w:lang w:val="en-GB"/>
        </w:rPr>
        <w:t xml:space="preserve">, where </w:t>
      </w:r>
      <w:r w:rsidR="000C70A9" w:rsidRPr="00EF127F">
        <w:rPr>
          <w:rFonts w:ascii="Calibri" w:hAnsi="Calibri" w:cs="Calibri"/>
          <w:sz w:val="22"/>
          <w:szCs w:val="22"/>
          <w:lang w:val="en-GB"/>
        </w:rPr>
        <w:t>self-</w:t>
      </w:r>
      <w:r w:rsidR="00E93E49" w:rsidRPr="00EF127F">
        <w:rPr>
          <w:rFonts w:ascii="Calibri" w:hAnsi="Calibri" w:cs="Calibri"/>
          <w:sz w:val="22"/>
          <w:szCs w:val="22"/>
          <w:lang w:val="en-GB"/>
        </w:rPr>
        <w:t>propulsion is triggered via membrane solubilization</w:t>
      </w:r>
      <w:r w:rsidR="00BD5C69" w:rsidRPr="00EF127F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117E2B">
        <w:rPr>
          <w:rFonts w:ascii="Calibri" w:hAnsi="Calibri" w:cs="Calibri"/>
          <w:sz w:val="22"/>
          <w:szCs w:val="22"/>
          <w:lang w:val="en-GB"/>
        </w:rPr>
        <w:t>by</w:t>
      </w:r>
      <w:r w:rsidR="00EF127F">
        <w:rPr>
          <w:rFonts w:ascii="Calibri" w:hAnsi="Calibri" w:cs="Calibri"/>
          <w:sz w:val="22"/>
          <w:szCs w:val="22"/>
          <w:lang w:val="en-GB"/>
        </w:rPr>
        <w:t xml:space="preserve"> surfactants </w:t>
      </w:r>
      <w:r w:rsidR="00BD5C69" w:rsidRPr="00EF127F">
        <w:rPr>
          <w:rFonts w:ascii="Calibri" w:hAnsi="Calibri" w:cs="Calibri"/>
          <w:sz w:val="22"/>
          <w:szCs w:val="22"/>
          <w:lang w:val="en-GB"/>
        </w:rPr>
        <w:t>(Triton X-100 (TX) or bile)</w:t>
      </w:r>
      <w:r w:rsidR="00E93E49" w:rsidRPr="00EF127F">
        <w:rPr>
          <w:rFonts w:ascii="Calibri" w:hAnsi="Calibri" w:cs="Calibri"/>
          <w:sz w:val="22"/>
          <w:szCs w:val="22"/>
          <w:lang w:val="en-GB"/>
        </w:rPr>
        <w:t xml:space="preserve"> or </w:t>
      </w:r>
      <w:r w:rsidR="00117E2B">
        <w:rPr>
          <w:rFonts w:ascii="Calibri" w:hAnsi="Calibri" w:cs="Calibri"/>
          <w:sz w:val="22"/>
          <w:szCs w:val="22"/>
          <w:lang w:val="en-GB"/>
        </w:rPr>
        <w:t xml:space="preserve">membrane </w:t>
      </w:r>
      <w:r w:rsidR="00E93E49" w:rsidRPr="00EF127F">
        <w:rPr>
          <w:rFonts w:ascii="Calibri" w:hAnsi="Calibri" w:cs="Calibri"/>
          <w:sz w:val="22"/>
          <w:szCs w:val="22"/>
          <w:lang w:val="en-GB"/>
        </w:rPr>
        <w:t>hydrolysis</w:t>
      </w:r>
      <w:r w:rsidR="00BD5C69" w:rsidRPr="00EF127F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EF127F">
        <w:rPr>
          <w:rFonts w:ascii="Calibri" w:hAnsi="Calibri" w:cs="Calibri"/>
          <w:sz w:val="22"/>
          <w:szCs w:val="22"/>
          <w:lang w:val="en-GB"/>
        </w:rPr>
        <w:t xml:space="preserve">using enzymes </w:t>
      </w:r>
      <w:r w:rsidR="00BD5C69" w:rsidRPr="00EF127F">
        <w:rPr>
          <w:rFonts w:ascii="Calibri" w:hAnsi="Calibri" w:cs="Calibri"/>
          <w:sz w:val="22"/>
          <w:szCs w:val="22"/>
          <w:lang w:val="en-GB"/>
        </w:rPr>
        <w:t>(phospholipase A</w:t>
      </w:r>
      <w:r w:rsidR="00BD5C69" w:rsidRPr="00EF127F">
        <w:rPr>
          <w:rFonts w:ascii="Calibri" w:hAnsi="Calibri" w:cs="Calibri"/>
          <w:sz w:val="22"/>
          <w:szCs w:val="22"/>
          <w:vertAlign w:val="subscript"/>
          <w:lang w:val="en-GB"/>
        </w:rPr>
        <w:t>2</w:t>
      </w:r>
      <w:r w:rsidR="00BD5C69" w:rsidRPr="00EF127F">
        <w:rPr>
          <w:rFonts w:ascii="Calibri" w:hAnsi="Calibri" w:cs="Calibri"/>
          <w:sz w:val="22"/>
          <w:szCs w:val="22"/>
          <w:lang w:val="en-GB"/>
        </w:rPr>
        <w:t xml:space="preserve"> (PLA</w:t>
      </w:r>
      <w:r w:rsidR="00BD5C69" w:rsidRPr="00EF127F">
        <w:rPr>
          <w:rFonts w:ascii="Calibri" w:hAnsi="Calibri" w:cs="Calibri"/>
          <w:sz w:val="22"/>
          <w:szCs w:val="22"/>
          <w:vertAlign w:val="subscript"/>
          <w:lang w:val="en-GB"/>
        </w:rPr>
        <w:t>2</w:t>
      </w:r>
      <w:r w:rsidR="00BD5C69" w:rsidRPr="00EF127F">
        <w:rPr>
          <w:rFonts w:ascii="Calibri" w:hAnsi="Calibri" w:cs="Calibri"/>
          <w:sz w:val="22"/>
          <w:szCs w:val="22"/>
          <w:lang w:val="en-GB"/>
        </w:rPr>
        <w:t>))</w:t>
      </w:r>
      <w:r w:rsidR="00E93E49" w:rsidRPr="00EF127F">
        <w:rPr>
          <w:rFonts w:ascii="Calibri" w:hAnsi="Calibri" w:cs="Calibri"/>
          <w:sz w:val="22"/>
          <w:szCs w:val="22"/>
          <w:lang w:val="en-GB"/>
        </w:rPr>
        <w:t>.</w:t>
      </w:r>
      <w:r w:rsidR="00117E2B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117E2B">
        <w:rPr>
          <w:rFonts w:ascii="Calibri" w:hAnsi="Calibri" w:cs="Calibri"/>
          <w:sz w:val="22"/>
          <w:szCs w:val="22"/>
          <w:lang w:val="en-AU"/>
        </w:rPr>
        <w:t>Further development could lead to a method for targeted cargo-delivery in biomedical applications.</w:t>
      </w:r>
    </w:p>
    <w:p w14:paraId="431ECD15" w14:textId="3F5F58AD" w:rsidR="00B30861" w:rsidRPr="00EF127F" w:rsidRDefault="00B30861" w:rsidP="009A4CFF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EF127F">
        <w:rPr>
          <w:rFonts w:ascii="Calibri" w:hAnsi="Calibri" w:cs="Calibri"/>
          <w:b/>
          <w:bCs/>
          <w:sz w:val="22"/>
          <w:szCs w:val="22"/>
          <w:lang w:val="en-GB"/>
        </w:rPr>
        <w:t>Aims</w:t>
      </w:r>
      <w:bookmarkStart w:id="0" w:name="_GoBack"/>
      <w:bookmarkEnd w:id="0"/>
    </w:p>
    <w:p w14:paraId="28DEC8B8" w14:textId="6015CE7F" w:rsidR="00E93E49" w:rsidRPr="00EF127F" w:rsidRDefault="00BD5C69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GB"/>
        </w:rPr>
      </w:pPr>
      <w:r w:rsidRPr="00EF127F">
        <w:rPr>
          <w:rFonts w:ascii="Calibri" w:hAnsi="Calibri" w:cs="Calibri"/>
          <w:sz w:val="22"/>
          <w:szCs w:val="22"/>
          <w:lang w:val="en-GB"/>
        </w:rPr>
        <w:t>W</w:t>
      </w:r>
      <w:r w:rsidR="00E93E49" w:rsidRPr="00EF127F">
        <w:rPr>
          <w:rFonts w:ascii="Calibri" w:hAnsi="Calibri" w:cs="Calibri"/>
          <w:sz w:val="22"/>
          <w:szCs w:val="22"/>
          <w:lang w:val="en-GB"/>
        </w:rPr>
        <w:t>e aimed to</w:t>
      </w:r>
      <w:r w:rsidR="000C70A9" w:rsidRPr="00EF127F">
        <w:rPr>
          <w:rFonts w:ascii="Calibri" w:hAnsi="Calibri" w:cs="Calibri"/>
          <w:sz w:val="22"/>
          <w:szCs w:val="22"/>
          <w:lang w:val="en-GB"/>
        </w:rPr>
        <w:t>: (</w:t>
      </w:r>
      <w:proofErr w:type="spellStart"/>
      <w:r w:rsidR="000C70A9" w:rsidRPr="00EF127F">
        <w:rPr>
          <w:rFonts w:ascii="Calibri" w:hAnsi="Calibri" w:cs="Calibri"/>
          <w:sz w:val="22"/>
          <w:szCs w:val="22"/>
          <w:lang w:val="en-GB"/>
        </w:rPr>
        <w:t>i</w:t>
      </w:r>
      <w:proofErr w:type="spellEnd"/>
      <w:r w:rsidR="000C70A9" w:rsidRPr="00EF127F">
        <w:rPr>
          <w:rFonts w:ascii="Calibri" w:hAnsi="Calibri" w:cs="Calibri"/>
          <w:sz w:val="22"/>
          <w:szCs w:val="22"/>
          <w:lang w:val="en-GB"/>
        </w:rPr>
        <w:t>)</w:t>
      </w:r>
      <w:r w:rsidR="00E93E49" w:rsidRPr="00EF127F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0C70A9" w:rsidRPr="00EF127F">
        <w:rPr>
          <w:rFonts w:ascii="Calibri" w:hAnsi="Calibri" w:cs="Calibri"/>
          <w:sz w:val="22"/>
          <w:szCs w:val="22"/>
          <w:lang w:val="en-GB"/>
        </w:rPr>
        <w:t>compare micromotor mobility</w:t>
      </w:r>
      <w:r w:rsidR="00EF127F" w:rsidRPr="00EF127F">
        <w:rPr>
          <w:rFonts w:ascii="Calibri" w:hAnsi="Calibri" w:cs="Calibri"/>
          <w:sz w:val="22"/>
          <w:szCs w:val="22"/>
          <w:lang w:val="en-GB"/>
        </w:rPr>
        <w:t xml:space="preserve"> when triggered by</w:t>
      </w:r>
      <w:r w:rsidR="000C70A9" w:rsidRPr="00EF127F">
        <w:rPr>
          <w:rFonts w:ascii="Calibri" w:hAnsi="Calibri" w:cs="Calibri"/>
          <w:sz w:val="22"/>
          <w:szCs w:val="22"/>
          <w:lang w:val="en-GB"/>
        </w:rPr>
        <w:t xml:space="preserve"> TX, bile and</w:t>
      </w:r>
      <w:r w:rsidR="00B30861" w:rsidRPr="00EF127F">
        <w:rPr>
          <w:rFonts w:ascii="Calibri" w:hAnsi="Calibri" w:cs="Calibri"/>
          <w:sz w:val="22"/>
          <w:szCs w:val="22"/>
          <w:lang w:val="en-GB"/>
        </w:rPr>
        <w:t xml:space="preserve"> PLA</w:t>
      </w:r>
      <w:r w:rsidR="00B30861" w:rsidRPr="00EF127F">
        <w:rPr>
          <w:rFonts w:ascii="Calibri" w:hAnsi="Calibri" w:cs="Calibri"/>
          <w:sz w:val="22"/>
          <w:szCs w:val="22"/>
          <w:vertAlign w:val="subscript"/>
          <w:lang w:val="en-GB"/>
        </w:rPr>
        <w:t>2</w:t>
      </w:r>
      <w:r w:rsidR="000C70A9" w:rsidRPr="00EF127F">
        <w:rPr>
          <w:rFonts w:ascii="Calibri" w:hAnsi="Calibri" w:cs="Calibri"/>
          <w:sz w:val="22"/>
          <w:szCs w:val="22"/>
          <w:lang w:val="en-GB"/>
        </w:rPr>
        <w:t>, (ii) explore liposome</w:t>
      </w:r>
      <w:r w:rsidR="00072D57" w:rsidRPr="00EF127F">
        <w:rPr>
          <w:rFonts w:ascii="Calibri" w:hAnsi="Calibri" w:cs="Calibri"/>
          <w:sz w:val="22"/>
          <w:szCs w:val="22"/>
          <w:lang w:val="en-GB"/>
        </w:rPr>
        <w:t xml:space="preserve">-liposome </w:t>
      </w:r>
      <w:r w:rsidR="000C70A9" w:rsidRPr="00EF127F">
        <w:rPr>
          <w:rFonts w:ascii="Calibri" w:hAnsi="Calibri" w:cs="Calibri"/>
          <w:sz w:val="22"/>
          <w:szCs w:val="22"/>
          <w:lang w:val="en-GB"/>
        </w:rPr>
        <w:t>fusion as a trigger for self-propulsion, and (iii) assess micromotor mobility when increasing fuel availability.</w:t>
      </w:r>
    </w:p>
    <w:p w14:paraId="65BB77DD" w14:textId="28CDE214" w:rsidR="00B30861" w:rsidRPr="00EF127F" w:rsidRDefault="00B30861" w:rsidP="009A4CFF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EF127F">
        <w:rPr>
          <w:rFonts w:ascii="Calibri" w:hAnsi="Calibri" w:cs="Calibri"/>
          <w:b/>
          <w:bCs/>
          <w:sz w:val="22"/>
          <w:szCs w:val="22"/>
          <w:lang w:val="en-GB"/>
        </w:rPr>
        <w:t>Methods</w:t>
      </w:r>
    </w:p>
    <w:p w14:paraId="0D31BAC7" w14:textId="68B4CC8C" w:rsidR="00BD5C69" w:rsidRPr="00EF127F" w:rsidRDefault="000C70A9" w:rsidP="009A4CFF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EF127F">
        <w:rPr>
          <w:rFonts w:ascii="Calibri" w:hAnsi="Calibri" w:cs="Calibri"/>
          <w:sz w:val="22"/>
          <w:szCs w:val="22"/>
          <w:lang w:val="en-GB"/>
        </w:rPr>
        <w:t xml:space="preserve">The locomotion of micromotors was tested using microfluidic chips mounted on an inverted microscope. Movies were recorded following addition of the trigger, from which trajectories could be extracted and a Mean Square Displacement </w:t>
      </w:r>
      <w:r w:rsidR="004C3FE8" w:rsidRPr="00EF127F">
        <w:rPr>
          <w:rFonts w:ascii="Calibri" w:hAnsi="Calibri" w:cs="Calibri"/>
          <w:sz w:val="22"/>
          <w:szCs w:val="22"/>
          <w:lang w:val="en-GB"/>
        </w:rPr>
        <w:t>a</w:t>
      </w:r>
      <w:r w:rsidRPr="00EF127F">
        <w:rPr>
          <w:rFonts w:ascii="Calibri" w:hAnsi="Calibri" w:cs="Calibri"/>
          <w:sz w:val="22"/>
          <w:szCs w:val="22"/>
          <w:lang w:val="en-GB"/>
        </w:rPr>
        <w:t xml:space="preserve">nalysis carried </w:t>
      </w:r>
      <w:r w:rsidR="002E3DE8" w:rsidRPr="00EF127F">
        <w:rPr>
          <w:rFonts w:ascii="Calibri" w:hAnsi="Calibri" w:cs="Calibri"/>
          <w:sz w:val="22"/>
          <w:szCs w:val="22"/>
          <w:lang w:val="en-GB"/>
        </w:rPr>
        <w:t>out</w:t>
      </w:r>
      <w:r w:rsidRPr="00EF127F">
        <w:rPr>
          <w:rFonts w:ascii="Calibri" w:hAnsi="Calibri" w:cs="Calibri"/>
          <w:sz w:val="22"/>
          <w:szCs w:val="22"/>
          <w:lang w:val="en-GB"/>
        </w:rPr>
        <w:t>.</w:t>
      </w:r>
    </w:p>
    <w:p w14:paraId="5F418101" w14:textId="7B180B12" w:rsidR="00B30861" w:rsidRPr="00EF127F" w:rsidRDefault="00C752EC" w:rsidP="009A4CFF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08655B69" wp14:editId="6AFE486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617470" cy="2639695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861" w:rsidRPr="00EF127F">
        <w:rPr>
          <w:rFonts w:ascii="Calibri" w:hAnsi="Calibri" w:cs="Calibri"/>
          <w:b/>
          <w:bCs/>
          <w:sz w:val="22"/>
          <w:szCs w:val="22"/>
          <w:lang w:val="en-GB"/>
        </w:rPr>
        <w:t>Results</w:t>
      </w:r>
    </w:p>
    <w:p w14:paraId="7D7E80BC" w14:textId="14928350" w:rsidR="00B30861" w:rsidRPr="00EF127F" w:rsidRDefault="002E3DE8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GB"/>
        </w:rPr>
      </w:pPr>
      <w:r w:rsidRPr="00EF127F">
        <w:rPr>
          <w:rFonts w:ascii="Calibri" w:hAnsi="Calibri" w:cs="Calibri"/>
          <w:sz w:val="22"/>
          <w:szCs w:val="22"/>
          <w:lang w:val="en-GB"/>
        </w:rPr>
        <w:t>Micromotor d</w:t>
      </w:r>
      <w:r w:rsidR="00B30861" w:rsidRPr="00EF127F">
        <w:rPr>
          <w:rFonts w:ascii="Calibri" w:hAnsi="Calibri" w:cs="Calibri"/>
          <w:sz w:val="22"/>
          <w:szCs w:val="22"/>
          <w:lang w:val="en-GB"/>
        </w:rPr>
        <w:t>irectional motion with average velocities of 1</w:t>
      </w:r>
      <w:r w:rsidR="00072D57" w:rsidRPr="00EF127F">
        <w:rPr>
          <w:rFonts w:ascii="Calibri" w:hAnsi="Calibri" w:cs="Calibri"/>
          <w:sz w:val="22"/>
          <w:szCs w:val="22"/>
          <w:lang w:val="en-GB"/>
        </w:rPr>
        <w:t>.0</w:t>
      </w:r>
      <w:r w:rsidR="00B30861" w:rsidRPr="00EF127F">
        <w:rPr>
          <w:rFonts w:ascii="Calibri" w:hAnsi="Calibri" w:cs="Calibri"/>
          <w:sz w:val="22"/>
          <w:szCs w:val="22"/>
          <w:lang w:val="en-GB"/>
        </w:rPr>
        <w:t xml:space="preserve"> and 1.7 </w:t>
      </w:r>
      <w:proofErr w:type="spellStart"/>
      <w:r w:rsidR="00B30861" w:rsidRPr="00EF127F">
        <w:rPr>
          <w:rFonts w:ascii="Calibri" w:hAnsi="Calibri" w:cs="Calibri"/>
          <w:sz w:val="22"/>
          <w:szCs w:val="22"/>
          <w:lang w:val="en-GB"/>
        </w:rPr>
        <w:t>μm</w:t>
      </w:r>
      <w:proofErr w:type="spellEnd"/>
      <w:r w:rsidR="00B30861" w:rsidRPr="00EF127F">
        <w:rPr>
          <w:rFonts w:ascii="Calibri" w:hAnsi="Calibri" w:cs="Calibri"/>
          <w:sz w:val="22"/>
          <w:szCs w:val="22"/>
          <w:lang w:val="en-GB"/>
        </w:rPr>
        <w:t xml:space="preserve"> s</w:t>
      </w:r>
      <w:r w:rsidR="00B30861" w:rsidRPr="00EF127F">
        <w:rPr>
          <w:rFonts w:ascii="Calibri" w:hAnsi="Calibri" w:cs="Calibri"/>
          <w:sz w:val="22"/>
          <w:szCs w:val="22"/>
          <w:vertAlign w:val="superscript"/>
          <w:lang w:val="en-GB"/>
        </w:rPr>
        <w:t>-1</w:t>
      </w:r>
      <w:r w:rsidR="00B30861" w:rsidRPr="00EF127F">
        <w:rPr>
          <w:rFonts w:ascii="Calibri" w:hAnsi="Calibri" w:cs="Calibri"/>
          <w:sz w:val="22"/>
          <w:szCs w:val="22"/>
          <w:lang w:val="en-GB"/>
        </w:rPr>
        <w:t xml:space="preserve"> was observed</w:t>
      </w:r>
      <w:r w:rsidR="00D51B65" w:rsidRPr="00EF127F">
        <w:rPr>
          <w:rFonts w:ascii="Calibri" w:hAnsi="Calibri" w:cs="Calibri"/>
          <w:sz w:val="22"/>
          <w:szCs w:val="22"/>
          <w:lang w:val="en-GB"/>
        </w:rPr>
        <w:t xml:space="preserve"> when using TX </w:t>
      </w:r>
      <w:r w:rsidR="00BD5C69" w:rsidRPr="00EF127F">
        <w:rPr>
          <w:rFonts w:ascii="Calibri" w:hAnsi="Calibri" w:cs="Calibri"/>
          <w:sz w:val="22"/>
          <w:szCs w:val="22"/>
          <w:lang w:val="en-GB"/>
        </w:rPr>
        <w:t>(Fig.</w:t>
      </w:r>
      <w:r w:rsidR="006962E0" w:rsidRPr="00EF127F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BD5C69" w:rsidRPr="00EF127F">
        <w:rPr>
          <w:rFonts w:ascii="Calibri" w:hAnsi="Calibri" w:cs="Calibri"/>
          <w:sz w:val="22"/>
          <w:szCs w:val="22"/>
          <w:lang w:val="en-GB"/>
        </w:rPr>
        <w:t xml:space="preserve">1) </w:t>
      </w:r>
      <w:r w:rsidR="00D51B65" w:rsidRPr="00EF127F">
        <w:rPr>
          <w:rFonts w:ascii="Calibri" w:hAnsi="Calibri" w:cs="Calibri"/>
          <w:sz w:val="22"/>
          <w:szCs w:val="22"/>
          <w:lang w:val="en-GB"/>
        </w:rPr>
        <w:t>and bile, respectively</w:t>
      </w:r>
      <w:r w:rsidR="00B30861" w:rsidRPr="00EF127F">
        <w:rPr>
          <w:rFonts w:ascii="Calibri" w:hAnsi="Calibri" w:cs="Calibri"/>
          <w:sz w:val="22"/>
          <w:szCs w:val="22"/>
          <w:lang w:val="en-GB"/>
        </w:rPr>
        <w:t>. PLA</w:t>
      </w:r>
      <w:r w:rsidR="00B30861" w:rsidRPr="00EF127F">
        <w:rPr>
          <w:rFonts w:ascii="Calibri" w:hAnsi="Calibri" w:cs="Calibri"/>
          <w:sz w:val="22"/>
          <w:szCs w:val="22"/>
          <w:vertAlign w:val="subscript"/>
          <w:lang w:val="en-GB"/>
        </w:rPr>
        <w:t>2</w:t>
      </w:r>
      <w:r w:rsidR="00B30861" w:rsidRPr="00EF127F">
        <w:rPr>
          <w:rFonts w:ascii="Calibri" w:hAnsi="Calibri" w:cs="Calibri"/>
          <w:sz w:val="22"/>
          <w:szCs w:val="22"/>
          <w:lang w:val="en-GB"/>
        </w:rPr>
        <w:t xml:space="preserve"> and liposome fusion led to a reduction in random motion of the micromotor. </w:t>
      </w:r>
      <w:r w:rsidR="001B1DC7" w:rsidRPr="00EF127F">
        <w:rPr>
          <w:rFonts w:ascii="Calibri" w:hAnsi="Calibri" w:cs="Calibri"/>
          <w:sz w:val="22"/>
          <w:szCs w:val="22"/>
          <w:lang w:val="en-GB"/>
        </w:rPr>
        <w:t>N</w:t>
      </w:r>
      <w:r w:rsidR="00B30861" w:rsidRPr="00EF127F">
        <w:rPr>
          <w:rFonts w:ascii="Calibri" w:hAnsi="Calibri" w:cs="Calibri"/>
          <w:sz w:val="22"/>
          <w:szCs w:val="22"/>
          <w:lang w:val="en-GB"/>
        </w:rPr>
        <w:t>one of the triggers resulted in directional motion when increasing fuel availability.</w:t>
      </w:r>
    </w:p>
    <w:p w14:paraId="52A1D9F0" w14:textId="1FA3509E" w:rsidR="00B30861" w:rsidRPr="00EF127F" w:rsidRDefault="00B30861" w:rsidP="009A4CFF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EF127F">
        <w:rPr>
          <w:rFonts w:ascii="Calibri" w:hAnsi="Calibri" w:cs="Calibri"/>
          <w:b/>
          <w:bCs/>
          <w:sz w:val="22"/>
          <w:szCs w:val="22"/>
          <w:lang w:val="en-GB"/>
        </w:rPr>
        <w:t>Discussion</w:t>
      </w:r>
    </w:p>
    <w:p w14:paraId="71522065" w14:textId="2A0007D5" w:rsidR="00B30861" w:rsidRPr="00EF127F" w:rsidRDefault="00C752EC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GB"/>
        </w:rPr>
      </w:pPr>
      <w:r w:rsidRPr="00EF127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636F7D" wp14:editId="78BB49A9">
                <wp:simplePos x="0" y="0"/>
                <wp:positionH relativeFrom="margin">
                  <wp:posOffset>3509645</wp:posOffset>
                </wp:positionH>
                <wp:positionV relativeFrom="paragraph">
                  <wp:posOffset>1357630</wp:posOffset>
                </wp:positionV>
                <wp:extent cx="2471420" cy="467995"/>
                <wp:effectExtent l="0" t="0" r="5080" b="825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4679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ABCE0E" w14:textId="116F94D3" w:rsidR="004C3FE8" w:rsidRPr="004C3FE8" w:rsidRDefault="004C3FE8" w:rsidP="004C3FE8">
                            <w:pPr>
                              <w:pStyle w:val="Caption"/>
                              <w:jc w:val="both"/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D5C69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Fig</w:t>
                            </w:r>
                            <w:r w:rsidR="00BD5C69" w:rsidRPr="00BD5C69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 w:rsidRPr="00BD5C69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D5C69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D5C69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instrText xml:space="preserve"> SEQ Figure \* ARABIC </w:instrText>
                            </w:r>
                            <w:r w:rsidRPr="00BD5C69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BD5C69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Pr="00BD5C69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4C3FE8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Pr="004C3FE8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icromotor</w:t>
                            </w:r>
                            <w:r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trajectories </w:t>
                            </w:r>
                            <w:r w:rsidRPr="004C3FE8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using TX as a trigger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636F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35pt;margin-top:106.9pt;width:194.6pt;height:36.85pt;z-index:251661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" stroked="f">
                <v:textbox style="mso-fit-shape-to-text:t" inset="0,0,0,0">
                  <w:txbxContent>
                    <w:p w14:paraId="5DABCE0E" w14:textId="116F94D3" w:rsidR="004C3FE8" w:rsidRPr="004C3FE8" w:rsidRDefault="004C3FE8" w:rsidP="004C3FE8">
                      <w:pPr>
                        <w:pStyle w:val="Caption"/>
                        <w:jc w:val="both"/>
                        <w:rPr>
                          <w:rFonts w:asciiTheme="minorHAnsi" w:hAnsiTheme="minorHAnsi" w:cstheme="minorHAnsi"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BD5C69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Fig</w:t>
                      </w:r>
                      <w:r w:rsidR="00BD5C69" w:rsidRPr="00BD5C69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.</w:t>
                      </w:r>
                      <w:r w:rsidRPr="00BD5C69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BD5C69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BD5C69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instrText xml:space="preserve"> SEQ Figure \* ARABIC </w:instrText>
                      </w:r>
                      <w:r w:rsidRPr="00BD5C69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Pr="00BD5C69">
                        <w:rPr>
                          <w:rFonts w:asciiTheme="minorHAnsi" w:hAnsiTheme="minorHAnsi" w:cstheme="minorHAnsi"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  <w:t>1</w:t>
                      </w:r>
                      <w:r w:rsidRPr="00BD5C69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end"/>
                      </w:r>
                      <w:r w:rsidRPr="004C3FE8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–</w:t>
                      </w:r>
                      <w:r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M</w:t>
                      </w:r>
                      <w:r w:rsidRPr="004C3FE8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icromotor</w:t>
                      </w:r>
                      <w:r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trajectories </w:t>
                      </w:r>
                      <w:r w:rsidRPr="004C3FE8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using TX as a trigger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17A1" w:rsidRPr="00EF127F">
        <w:rPr>
          <w:rFonts w:ascii="Calibri" w:hAnsi="Calibri" w:cs="Calibri"/>
          <w:sz w:val="22"/>
          <w:szCs w:val="22"/>
          <w:lang w:val="en-GB"/>
        </w:rPr>
        <w:t>Self-propulsion using TX as a trigger is believe</w:t>
      </w:r>
      <w:r w:rsidR="007E6F56" w:rsidRPr="00EF127F">
        <w:rPr>
          <w:rFonts w:ascii="Calibri" w:hAnsi="Calibri" w:cs="Calibri"/>
          <w:sz w:val="22"/>
          <w:szCs w:val="22"/>
          <w:lang w:val="en-GB"/>
        </w:rPr>
        <w:t>d</w:t>
      </w:r>
      <w:r w:rsidR="00CB17A1" w:rsidRPr="00EF127F">
        <w:rPr>
          <w:rFonts w:ascii="Calibri" w:hAnsi="Calibri" w:cs="Calibri"/>
          <w:sz w:val="22"/>
          <w:szCs w:val="22"/>
          <w:lang w:val="en-GB"/>
        </w:rPr>
        <w:t xml:space="preserve"> to be caused by an asymmetry in the environment close to the micromotor. </w:t>
      </w:r>
      <w:r w:rsidR="001B1DC7" w:rsidRPr="00EF127F">
        <w:rPr>
          <w:rFonts w:ascii="Calibri" w:hAnsi="Calibri" w:cs="Calibri"/>
          <w:sz w:val="22"/>
          <w:szCs w:val="22"/>
          <w:lang w:val="en-GB"/>
        </w:rPr>
        <w:t>Locomotion</w:t>
      </w:r>
      <w:r w:rsidR="004C3FE8" w:rsidRPr="00EF127F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CB17A1" w:rsidRPr="00EF127F">
        <w:rPr>
          <w:rFonts w:ascii="Calibri" w:hAnsi="Calibri" w:cs="Calibri"/>
          <w:sz w:val="22"/>
          <w:szCs w:val="22"/>
          <w:lang w:val="en-GB"/>
        </w:rPr>
        <w:t xml:space="preserve">using bile </w:t>
      </w:r>
      <w:r w:rsidR="004C3FE8" w:rsidRPr="00EF127F">
        <w:rPr>
          <w:rFonts w:ascii="Calibri" w:hAnsi="Calibri" w:cs="Calibri"/>
          <w:sz w:val="22"/>
          <w:szCs w:val="22"/>
          <w:lang w:val="en-GB"/>
        </w:rPr>
        <w:t xml:space="preserve">as a trigger was </w:t>
      </w:r>
      <w:r w:rsidR="00CB17A1" w:rsidRPr="00EF127F">
        <w:rPr>
          <w:rFonts w:ascii="Calibri" w:hAnsi="Calibri" w:cs="Calibri"/>
          <w:sz w:val="22"/>
          <w:szCs w:val="22"/>
          <w:lang w:val="en-GB"/>
        </w:rPr>
        <w:t xml:space="preserve">attributed to liposome shrinkage due to osmotically driven water efflux. </w:t>
      </w:r>
      <w:r w:rsidR="007E6F56" w:rsidRPr="00EF127F">
        <w:rPr>
          <w:rFonts w:ascii="Calibri" w:hAnsi="Calibri" w:cs="Calibri"/>
          <w:sz w:val="22"/>
          <w:szCs w:val="22"/>
          <w:lang w:val="en-GB"/>
        </w:rPr>
        <w:t xml:space="preserve">The </w:t>
      </w:r>
      <w:r w:rsidR="005D51F1">
        <w:rPr>
          <w:rFonts w:ascii="Calibri" w:hAnsi="Calibri" w:cs="Calibri"/>
          <w:sz w:val="22"/>
          <w:szCs w:val="22"/>
          <w:lang w:val="en-GB"/>
        </w:rPr>
        <w:t xml:space="preserve">reduced motion using </w:t>
      </w:r>
      <w:r w:rsidR="007E6F56" w:rsidRPr="00EF127F">
        <w:rPr>
          <w:rFonts w:ascii="Calibri" w:hAnsi="Calibri" w:cs="Calibri"/>
          <w:sz w:val="22"/>
          <w:szCs w:val="22"/>
          <w:lang w:val="en-GB"/>
        </w:rPr>
        <w:t>PLA</w:t>
      </w:r>
      <w:r w:rsidR="007E6F56" w:rsidRPr="00EF127F">
        <w:rPr>
          <w:rFonts w:ascii="Calibri" w:hAnsi="Calibri" w:cs="Calibri"/>
          <w:sz w:val="22"/>
          <w:szCs w:val="22"/>
          <w:vertAlign w:val="subscript"/>
          <w:lang w:val="en-GB"/>
        </w:rPr>
        <w:t>2</w:t>
      </w:r>
      <w:r w:rsidR="007E6F56" w:rsidRPr="00EF127F">
        <w:rPr>
          <w:rFonts w:ascii="Calibri" w:hAnsi="Calibri" w:cs="Calibri"/>
          <w:sz w:val="22"/>
          <w:szCs w:val="22"/>
          <w:lang w:val="en-GB"/>
        </w:rPr>
        <w:t xml:space="preserve"> is believed to be caused by the lag-burst behaviour of the enzyme.</w:t>
      </w:r>
      <w:r w:rsidR="00297439" w:rsidRPr="00EF127F">
        <w:rPr>
          <w:rFonts w:ascii="Calibri" w:hAnsi="Calibri" w:cs="Calibri"/>
          <w:sz w:val="22"/>
          <w:szCs w:val="22"/>
          <w:lang w:val="en-GB"/>
        </w:rPr>
        <w:t xml:space="preserve"> T</w:t>
      </w:r>
      <w:r w:rsidR="007E6F56" w:rsidRPr="00EF127F">
        <w:rPr>
          <w:rFonts w:ascii="Calibri" w:hAnsi="Calibri" w:cs="Calibri"/>
          <w:sz w:val="22"/>
          <w:szCs w:val="22"/>
          <w:lang w:val="en-GB"/>
        </w:rPr>
        <w:t xml:space="preserve">he </w:t>
      </w:r>
      <w:r w:rsidR="00237A32" w:rsidRPr="00EF127F">
        <w:rPr>
          <w:rFonts w:ascii="Calibri" w:hAnsi="Calibri" w:cs="Calibri"/>
          <w:sz w:val="22"/>
          <w:szCs w:val="22"/>
          <w:lang w:val="en-GB"/>
        </w:rPr>
        <w:t xml:space="preserve">mobility </w:t>
      </w:r>
      <w:r w:rsidR="007E6F56" w:rsidRPr="00EF127F">
        <w:rPr>
          <w:rFonts w:ascii="Calibri" w:hAnsi="Calibri" w:cs="Calibri"/>
          <w:sz w:val="22"/>
          <w:szCs w:val="22"/>
          <w:lang w:val="en-GB"/>
        </w:rPr>
        <w:t xml:space="preserve">decrease via </w:t>
      </w:r>
      <w:r w:rsidR="00237A32" w:rsidRPr="00EF127F">
        <w:rPr>
          <w:rFonts w:ascii="Calibri" w:hAnsi="Calibri" w:cs="Calibri"/>
          <w:sz w:val="22"/>
          <w:szCs w:val="22"/>
          <w:lang w:val="en-GB"/>
        </w:rPr>
        <w:t>liposome</w:t>
      </w:r>
      <w:r w:rsidR="00F9495A">
        <w:rPr>
          <w:rFonts w:ascii="Calibri" w:hAnsi="Calibri" w:cs="Calibri"/>
          <w:sz w:val="22"/>
          <w:szCs w:val="22"/>
          <w:lang w:val="en-GB"/>
        </w:rPr>
        <w:t>-liposome</w:t>
      </w:r>
      <w:r w:rsidR="00237A32" w:rsidRPr="00EF127F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7E6F56" w:rsidRPr="00EF127F">
        <w:rPr>
          <w:rFonts w:ascii="Calibri" w:hAnsi="Calibri" w:cs="Calibri"/>
          <w:sz w:val="22"/>
          <w:szCs w:val="22"/>
          <w:lang w:val="en-GB"/>
        </w:rPr>
        <w:t>fusion was attributed to the increase in surface roughness of the micromotor.</w:t>
      </w:r>
    </w:p>
    <w:p w14:paraId="1C6EFE4A" w14:textId="06A95A76" w:rsidR="00B30861" w:rsidRPr="00EF127F" w:rsidRDefault="00B30861" w:rsidP="009A4CFF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EF127F">
        <w:rPr>
          <w:rFonts w:ascii="Calibri" w:hAnsi="Calibri" w:cs="Calibri"/>
          <w:b/>
          <w:bCs/>
          <w:sz w:val="22"/>
          <w:szCs w:val="22"/>
          <w:lang w:val="en-GB"/>
        </w:rPr>
        <w:t>Conclusion</w:t>
      </w:r>
    </w:p>
    <w:p w14:paraId="48FE0B58" w14:textId="0525FCAA" w:rsidR="00CB17A1" w:rsidRPr="00EF127F" w:rsidRDefault="00B30861" w:rsidP="00CB17A1">
      <w:pPr>
        <w:ind w:left="284" w:right="282"/>
        <w:jc w:val="both"/>
        <w:rPr>
          <w:rFonts w:ascii="Calibri" w:hAnsi="Calibri" w:cs="Calibri"/>
          <w:sz w:val="22"/>
          <w:szCs w:val="22"/>
          <w:lang w:val="en-GB"/>
        </w:rPr>
      </w:pPr>
      <w:r w:rsidRPr="00EF127F">
        <w:rPr>
          <w:rFonts w:ascii="Calibri" w:hAnsi="Calibri" w:cs="Calibri"/>
          <w:sz w:val="22"/>
          <w:szCs w:val="22"/>
          <w:lang w:val="en-GB"/>
        </w:rPr>
        <w:t>A</w:t>
      </w:r>
      <w:r w:rsidR="00FB2E49">
        <w:rPr>
          <w:rFonts w:ascii="Calibri" w:hAnsi="Calibri" w:cs="Calibri"/>
          <w:sz w:val="22"/>
          <w:szCs w:val="22"/>
          <w:lang w:val="en-GB"/>
        </w:rPr>
        <w:t xml:space="preserve"> non-toxic fuelled</w:t>
      </w:r>
      <w:r w:rsidRPr="00EF127F">
        <w:rPr>
          <w:rFonts w:ascii="Calibri" w:hAnsi="Calibri" w:cs="Calibri"/>
          <w:sz w:val="22"/>
          <w:szCs w:val="22"/>
          <w:lang w:val="en-GB"/>
        </w:rPr>
        <w:t xml:space="preserve"> micromotor </w:t>
      </w:r>
      <w:r w:rsidR="00CB17A1" w:rsidRPr="00EF127F">
        <w:rPr>
          <w:rFonts w:ascii="Calibri" w:hAnsi="Calibri" w:cs="Calibri"/>
          <w:sz w:val="22"/>
          <w:szCs w:val="22"/>
          <w:lang w:val="en-GB"/>
        </w:rPr>
        <w:t>has been proposed</w:t>
      </w:r>
      <w:r w:rsidR="00A65536">
        <w:rPr>
          <w:rFonts w:ascii="Calibri" w:hAnsi="Calibri" w:cs="Calibri"/>
          <w:sz w:val="22"/>
          <w:szCs w:val="22"/>
          <w:lang w:val="en-GB"/>
        </w:rPr>
        <w:t>,</w:t>
      </w:r>
      <w:r w:rsidR="00FB2E49">
        <w:rPr>
          <w:rFonts w:ascii="Calibri" w:hAnsi="Calibri" w:cs="Calibri"/>
          <w:sz w:val="22"/>
          <w:szCs w:val="22"/>
          <w:lang w:val="en-GB"/>
        </w:rPr>
        <w:t xml:space="preserve"> which could open new avenues for cargo-delivery applications in the biomedical field</w:t>
      </w:r>
      <w:r w:rsidR="00CB17A1" w:rsidRPr="00EF127F">
        <w:rPr>
          <w:rFonts w:ascii="Calibri" w:hAnsi="Calibri" w:cs="Calibri"/>
          <w:sz w:val="22"/>
          <w:szCs w:val="22"/>
          <w:lang w:val="en-GB"/>
        </w:rPr>
        <w:t>.</w:t>
      </w:r>
    </w:p>
    <w:p w14:paraId="7193684D" w14:textId="0929EDE4" w:rsidR="00B90C8D" w:rsidRPr="00EF127F" w:rsidRDefault="00B90C8D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64BD8B67" w14:textId="27C9E3F2" w:rsidR="00641190" w:rsidRPr="00EF127F" w:rsidRDefault="00B30861" w:rsidP="009A4CFF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EF127F">
        <w:rPr>
          <w:rFonts w:ascii="Calibri" w:hAnsi="Calibri" w:cs="Calibri"/>
          <w:b/>
          <w:bCs/>
          <w:sz w:val="22"/>
          <w:szCs w:val="22"/>
          <w:lang w:val="en-GB"/>
        </w:rPr>
        <w:t>References</w:t>
      </w:r>
    </w:p>
    <w:p w14:paraId="0815251B" w14:textId="30FF30FE" w:rsidR="000D2948" w:rsidRDefault="000D2948" w:rsidP="00E93E49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val="en-GB" w:eastAsia="en-AU"/>
        </w:rPr>
      </w:pPr>
      <w:r w:rsidRPr="000D2948">
        <w:rPr>
          <w:rFonts w:asciiTheme="minorHAnsi" w:hAnsiTheme="minorHAnsi" w:cstheme="minorHAnsi"/>
          <w:sz w:val="22"/>
          <w:szCs w:val="22"/>
          <w:lang w:val="en-GB" w:eastAsia="en-AU"/>
        </w:rPr>
        <w:t>Fern</w:t>
      </w:r>
      <w:r w:rsidRPr="000D2948">
        <w:rPr>
          <w:rFonts w:ascii="Calibri" w:hAnsi="Calibri" w:cs="Calibri"/>
          <w:sz w:val="22"/>
          <w:szCs w:val="22"/>
          <w:lang w:val="en-GB"/>
        </w:rPr>
        <w:t>á</w:t>
      </w:r>
      <w:r w:rsidRPr="000D2948">
        <w:rPr>
          <w:rFonts w:asciiTheme="minorHAnsi" w:hAnsiTheme="minorHAnsi" w:cstheme="minorHAnsi"/>
          <w:sz w:val="22"/>
          <w:szCs w:val="22"/>
          <w:lang w:val="en-GB" w:eastAsia="en-AU"/>
        </w:rPr>
        <w:t xml:space="preserve">ndez-Medina, M.; Qian, X. M.; </w:t>
      </w:r>
      <w:proofErr w:type="spellStart"/>
      <w:r w:rsidRPr="000D2948">
        <w:rPr>
          <w:rFonts w:asciiTheme="minorHAnsi" w:hAnsiTheme="minorHAnsi" w:cstheme="minorHAnsi"/>
          <w:sz w:val="22"/>
          <w:szCs w:val="22"/>
          <w:lang w:val="en-GB" w:eastAsia="en-AU"/>
        </w:rPr>
        <w:t>Hovorka</w:t>
      </w:r>
      <w:proofErr w:type="spellEnd"/>
      <w:r w:rsidRPr="000D2948">
        <w:rPr>
          <w:rFonts w:asciiTheme="minorHAnsi" w:hAnsiTheme="minorHAnsi" w:cstheme="minorHAnsi"/>
          <w:sz w:val="22"/>
          <w:szCs w:val="22"/>
          <w:lang w:val="en-GB" w:eastAsia="en-AU"/>
        </w:rPr>
        <w:t xml:space="preserve">, O.; </w:t>
      </w:r>
      <w:proofErr w:type="spellStart"/>
      <w:r w:rsidRPr="000D2948">
        <w:rPr>
          <w:rFonts w:asciiTheme="minorHAnsi" w:hAnsiTheme="minorHAnsi" w:cstheme="minorHAnsi"/>
          <w:sz w:val="22"/>
          <w:szCs w:val="22"/>
          <w:lang w:val="en-GB" w:eastAsia="en-AU"/>
        </w:rPr>
        <w:t>Städler</w:t>
      </w:r>
      <w:proofErr w:type="spellEnd"/>
      <w:r w:rsidRPr="000D2948">
        <w:rPr>
          <w:rFonts w:asciiTheme="minorHAnsi" w:hAnsiTheme="minorHAnsi" w:cstheme="minorHAnsi"/>
          <w:sz w:val="22"/>
          <w:szCs w:val="22"/>
          <w:lang w:val="en-GB" w:eastAsia="en-AU"/>
        </w:rPr>
        <w:t xml:space="preserve">, B. </w:t>
      </w:r>
      <w:r>
        <w:rPr>
          <w:rFonts w:asciiTheme="minorHAnsi" w:hAnsiTheme="minorHAnsi" w:cstheme="minorHAnsi"/>
          <w:sz w:val="22"/>
          <w:szCs w:val="22"/>
          <w:lang w:val="en-GB" w:eastAsia="en-AU"/>
        </w:rPr>
        <w:t xml:space="preserve">(2019) </w:t>
      </w:r>
      <w:r w:rsidRPr="000D2948">
        <w:rPr>
          <w:rFonts w:asciiTheme="minorHAnsi" w:hAnsiTheme="minorHAnsi" w:cstheme="minorHAnsi"/>
          <w:sz w:val="22"/>
          <w:szCs w:val="22"/>
          <w:lang w:val="en-GB" w:eastAsia="en-AU"/>
        </w:rPr>
        <w:t>Disintegrating polymer multilayers to jump-start colloidal micromotors. Nanoscale</w:t>
      </w:r>
      <w:r>
        <w:rPr>
          <w:rFonts w:asciiTheme="minorHAnsi" w:hAnsiTheme="minorHAnsi" w:cstheme="minorHAnsi"/>
          <w:sz w:val="22"/>
          <w:szCs w:val="22"/>
          <w:lang w:val="en-GB" w:eastAsia="en-AU"/>
        </w:rPr>
        <w:t>,</w:t>
      </w:r>
      <w:r w:rsidRPr="000D2948">
        <w:rPr>
          <w:rFonts w:asciiTheme="minorHAnsi" w:hAnsiTheme="minorHAnsi" w:cstheme="minorHAnsi"/>
          <w:sz w:val="22"/>
          <w:szCs w:val="22"/>
          <w:lang w:val="en-GB" w:eastAsia="en-AU"/>
        </w:rPr>
        <w:t xml:space="preserve"> 11, 733-741</w:t>
      </w:r>
      <w:r>
        <w:rPr>
          <w:rFonts w:asciiTheme="minorHAnsi" w:hAnsiTheme="minorHAnsi" w:cstheme="minorHAnsi"/>
          <w:sz w:val="22"/>
          <w:szCs w:val="22"/>
          <w:lang w:val="en-GB" w:eastAsia="en-AU"/>
        </w:rPr>
        <w:t>.</w:t>
      </w:r>
    </w:p>
    <w:p w14:paraId="19A0A76F" w14:textId="2B4819DE" w:rsidR="00F97620" w:rsidRPr="00EF127F" w:rsidRDefault="004C3FE8" w:rsidP="00E93E49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val="en-GB" w:eastAsia="en-AU"/>
        </w:rPr>
      </w:pPr>
      <w:r w:rsidRPr="00EF127F">
        <w:rPr>
          <w:rFonts w:asciiTheme="minorHAnsi" w:hAnsiTheme="minorHAnsi" w:cstheme="minorHAnsi"/>
          <w:sz w:val="22"/>
          <w:szCs w:val="22"/>
          <w:lang w:val="en-GB" w:eastAsia="en-AU"/>
        </w:rPr>
        <w:t>Mazur, F.; Bally, M; Chandrawati</w:t>
      </w:r>
      <w:r w:rsidR="00297439" w:rsidRPr="00EF127F">
        <w:rPr>
          <w:rFonts w:asciiTheme="minorHAnsi" w:hAnsiTheme="minorHAnsi" w:cstheme="minorHAnsi"/>
          <w:sz w:val="22"/>
          <w:szCs w:val="22"/>
          <w:lang w:val="en-GB" w:eastAsia="en-AU"/>
        </w:rPr>
        <w:t xml:space="preserve">, R.; </w:t>
      </w:r>
      <w:r w:rsidRPr="00EF127F">
        <w:rPr>
          <w:rFonts w:asciiTheme="minorHAnsi" w:hAnsiTheme="minorHAnsi" w:cstheme="minorHAnsi"/>
          <w:sz w:val="22"/>
          <w:szCs w:val="22"/>
          <w:lang w:val="en-GB" w:eastAsia="en-AU"/>
        </w:rPr>
        <w:t>Städler</w:t>
      </w:r>
      <w:r w:rsidR="00297439" w:rsidRPr="00EF127F">
        <w:rPr>
          <w:rFonts w:asciiTheme="minorHAnsi" w:hAnsiTheme="minorHAnsi" w:cstheme="minorHAnsi"/>
          <w:sz w:val="22"/>
          <w:szCs w:val="22"/>
          <w:lang w:val="en-GB" w:eastAsia="en-AU"/>
        </w:rPr>
        <w:t xml:space="preserve">, B. (2017) Liposomes and lipid bilayers in biosensors. Adv. Colloid </w:t>
      </w:r>
      <w:proofErr w:type="spellStart"/>
      <w:r w:rsidR="00297439" w:rsidRPr="00EF127F">
        <w:rPr>
          <w:rFonts w:asciiTheme="minorHAnsi" w:hAnsiTheme="minorHAnsi" w:cstheme="minorHAnsi"/>
          <w:sz w:val="22"/>
          <w:szCs w:val="22"/>
          <w:lang w:val="en-GB" w:eastAsia="en-AU"/>
        </w:rPr>
        <w:t>Interfac</w:t>
      </w:r>
      <w:proofErr w:type="spellEnd"/>
      <w:r w:rsidR="00297439" w:rsidRPr="00EF127F">
        <w:rPr>
          <w:rFonts w:asciiTheme="minorHAnsi" w:hAnsiTheme="minorHAnsi" w:cstheme="minorHAnsi"/>
          <w:sz w:val="22"/>
          <w:szCs w:val="22"/>
          <w:lang w:val="en-GB" w:eastAsia="en-AU"/>
        </w:rPr>
        <w:t>.</w:t>
      </w:r>
      <w:r w:rsidR="00EF127F" w:rsidRPr="00EF127F">
        <w:rPr>
          <w:rFonts w:asciiTheme="minorHAnsi" w:hAnsiTheme="minorHAnsi" w:cstheme="minorHAnsi"/>
          <w:sz w:val="22"/>
          <w:szCs w:val="22"/>
          <w:lang w:val="en-GB" w:eastAsia="en-AU"/>
        </w:rPr>
        <w:t xml:space="preserve"> Sci.</w:t>
      </w:r>
      <w:r w:rsidR="00297439" w:rsidRPr="00EF127F">
        <w:rPr>
          <w:rFonts w:asciiTheme="minorHAnsi" w:hAnsiTheme="minorHAnsi" w:cstheme="minorHAnsi"/>
          <w:sz w:val="22"/>
          <w:szCs w:val="22"/>
          <w:lang w:val="en-GB" w:eastAsia="en-AU"/>
        </w:rPr>
        <w:t>, 249, 88-99</w:t>
      </w:r>
      <w:r w:rsidR="00760D0E" w:rsidRPr="00EF127F">
        <w:rPr>
          <w:rFonts w:asciiTheme="minorHAnsi" w:hAnsiTheme="minorHAnsi" w:cstheme="minorHAnsi"/>
          <w:sz w:val="22"/>
          <w:szCs w:val="22"/>
          <w:lang w:val="en-GB" w:eastAsia="en-AU"/>
        </w:rPr>
        <w:t>.</w:t>
      </w:r>
    </w:p>
    <w:p w14:paraId="790E0B14" w14:textId="2ACBF40E" w:rsidR="00BD5C69" w:rsidRPr="00EF127F" w:rsidRDefault="00BD5C69" w:rsidP="00BD5C69">
      <w:pPr>
        <w:shd w:val="clear" w:color="auto" w:fill="FFFFFF"/>
        <w:ind w:right="282"/>
        <w:jc w:val="both"/>
        <w:textAlignment w:val="top"/>
        <w:rPr>
          <w:rFonts w:asciiTheme="minorHAnsi" w:hAnsiTheme="minorHAnsi" w:cstheme="minorHAnsi"/>
          <w:sz w:val="22"/>
          <w:szCs w:val="22"/>
          <w:lang w:val="en-GB" w:eastAsia="en-AU"/>
        </w:rPr>
      </w:pPr>
    </w:p>
    <w:p w14:paraId="70A6B4CB" w14:textId="42749E79" w:rsidR="002C4DA8" w:rsidRPr="00EF127F" w:rsidRDefault="00BD5C69" w:rsidP="002C4DA8">
      <w:pPr>
        <w:shd w:val="clear" w:color="auto" w:fill="FFFFFF"/>
        <w:ind w:left="284" w:right="282"/>
        <w:jc w:val="both"/>
        <w:textAlignment w:val="top"/>
        <w:rPr>
          <w:rFonts w:asciiTheme="minorHAnsi" w:hAnsiTheme="minorHAnsi" w:cstheme="minorHAnsi"/>
          <w:sz w:val="22"/>
          <w:szCs w:val="22"/>
          <w:lang w:val="en-GB" w:eastAsia="en-AU"/>
        </w:rPr>
      </w:pPr>
      <w:r w:rsidRPr="00EF127F">
        <w:rPr>
          <w:rFonts w:asciiTheme="minorHAnsi" w:hAnsiTheme="minorHAnsi" w:cstheme="minorHAnsi"/>
          <w:sz w:val="22"/>
          <w:szCs w:val="22"/>
          <w:lang w:val="en-GB" w:eastAsia="en-AU"/>
        </w:rPr>
        <w:t xml:space="preserve">Corresponding author: </w:t>
      </w:r>
      <w:r w:rsidR="006962E0" w:rsidRPr="00EF127F">
        <w:rPr>
          <w:rFonts w:asciiTheme="minorHAnsi" w:hAnsiTheme="minorHAnsi" w:cstheme="minorHAnsi"/>
          <w:sz w:val="22"/>
          <w:szCs w:val="22"/>
          <w:lang w:val="en-GB" w:eastAsia="en-AU"/>
        </w:rPr>
        <w:t>bstadler@inano.au.dk</w:t>
      </w:r>
    </w:p>
    <w:sectPr w:rsidR="002C4DA8" w:rsidRPr="00EF127F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2zsxt2rgeae0cevvvvxvwsmpvar0aazz52d&quot;&gt;My EndNote Library&lt;record-ids&gt;&lt;item&gt;1&lt;/item&gt;&lt;/record-ids&gt;&lt;/item&gt;&lt;/Libraries&gt;"/>
  </w:docVars>
  <w:rsids>
    <w:rsidRoot w:val="002226BB"/>
    <w:rsid w:val="000271E4"/>
    <w:rsid w:val="0004118E"/>
    <w:rsid w:val="00045573"/>
    <w:rsid w:val="00072D57"/>
    <w:rsid w:val="000A178F"/>
    <w:rsid w:val="000A6D19"/>
    <w:rsid w:val="000C70A9"/>
    <w:rsid w:val="000D2948"/>
    <w:rsid w:val="00117E2B"/>
    <w:rsid w:val="00126708"/>
    <w:rsid w:val="001A21AD"/>
    <w:rsid w:val="001B1DC7"/>
    <w:rsid w:val="001B7570"/>
    <w:rsid w:val="002078AD"/>
    <w:rsid w:val="002226BB"/>
    <w:rsid w:val="00225236"/>
    <w:rsid w:val="002272B0"/>
    <w:rsid w:val="00237A32"/>
    <w:rsid w:val="00297439"/>
    <w:rsid w:val="002C4DA8"/>
    <w:rsid w:val="002E3DE8"/>
    <w:rsid w:val="002F27AE"/>
    <w:rsid w:val="00300B92"/>
    <w:rsid w:val="0030585E"/>
    <w:rsid w:val="00387491"/>
    <w:rsid w:val="00447188"/>
    <w:rsid w:val="00474E60"/>
    <w:rsid w:val="00483B05"/>
    <w:rsid w:val="004C22BF"/>
    <w:rsid w:val="004C3392"/>
    <w:rsid w:val="004C3FE8"/>
    <w:rsid w:val="004E28B9"/>
    <w:rsid w:val="004E5450"/>
    <w:rsid w:val="005226A8"/>
    <w:rsid w:val="0055229D"/>
    <w:rsid w:val="00554F08"/>
    <w:rsid w:val="00562D19"/>
    <w:rsid w:val="0059609A"/>
    <w:rsid w:val="00597659"/>
    <w:rsid w:val="005D51F1"/>
    <w:rsid w:val="005E48A2"/>
    <w:rsid w:val="005F19FF"/>
    <w:rsid w:val="00641190"/>
    <w:rsid w:val="006448F3"/>
    <w:rsid w:val="0065696E"/>
    <w:rsid w:val="006962E0"/>
    <w:rsid w:val="006B3866"/>
    <w:rsid w:val="00701466"/>
    <w:rsid w:val="00701612"/>
    <w:rsid w:val="00711813"/>
    <w:rsid w:val="00724E3C"/>
    <w:rsid w:val="00743C46"/>
    <w:rsid w:val="00746C98"/>
    <w:rsid w:val="00760D0E"/>
    <w:rsid w:val="007E6F56"/>
    <w:rsid w:val="008909C9"/>
    <w:rsid w:val="00947B77"/>
    <w:rsid w:val="00997C34"/>
    <w:rsid w:val="009A4CFF"/>
    <w:rsid w:val="009B2641"/>
    <w:rsid w:val="009B7945"/>
    <w:rsid w:val="009D7642"/>
    <w:rsid w:val="009E2228"/>
    <w:rsid w:val="009F06D6"/>
    <w:rsid w:val="00A266B4"/>
    <w:rsid w:val="00A65536"/>
    <w:rsid w:val="00B30861"/>
    <w:rsid w:val="00B90C8D"/>
    <w:rsid w:val="00BC5FCC"/>
    <w:rsid w:val="00BD5C69"/>
    <w:rsid w:val="00C60A71"/>
    <w:rsid w:val="00C752EC"/>
    <w:rsid w:val="00CB17A1"/>
    <w:rsid w:val="00CB4188"/>
    <w:rsid w:val="00CC165A"/>
    <w:rsid w:val="00D51B65"/>
    <w:rsid w:val="00D55F3B"/>
    <w:rsid w:val="00D67DAA"/>
    <w:rsid w:val="00DA2731"/>
    <w:rsid w:val="00DB4497"/>
    <w:rsid w:val="00DC0ABB"/>
    <w:rsid w:val="00DF1C8E"/>
    <w:rsid w:val="00E66BC5"/>
    <w:rsid w:val="00E93E49"/>
    <w:rsid w:val="00EF127F"/>
    <w:rsid w:val="00EF12F3"/>
    <w:rsid w:val="00F26BBE"/>
    <w:rsid w:val="00F9495A"/>
    <w:rsid w:val="00F97620"/>
    <w:rsid w:val="00FB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docId w15:val="{63CB5023-F049-4854-BCB5-5C90B0CF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customStyle="1" w:styleId="BBAuthorName">
    <w:name w:val="BB_Author_Name"/>
    <w:basedOn w:val="Normal"/>
    <w:next w:val="Normal"/>
    <w:rsid w:val="004C3392"/>
    <w:pPr>
      <w:spacing w:after="240" w:line="480" w:lineRule="auto"/>
      <w:jc w:val="center"/>
    </w:pPr>
    <w:rPr>
      <w:rFonts w:ascii="Times" w:hAnsi="Times"/>
      <w:i/>
      <w:szCs w:val="20"/>
    </w:rPr>
  </w:style>
  <w:style w:type="paragraph" w:customStyle="1" w:styleId="BIEmailAddress">
    <w:name w:val="BI_Email_Address"/>
    <w:basedOn w:val="Normal"/>
    <w:next w:val="AIReceivedDate"/>
    <w:rsid w:val="004C3392"/>
    <w:pPr>
      <w:spacing w:after="200" w:line="480" w:lineRule="auto"/>
      <w:jc w:val="both"/>
    </w:pPr>
    <w:rPr>
      <w:rFonts w:ascii="Times" w:hAnsi="Times"/>
      <w:szCs w:val="20"/>
    </w:rPr>
  </w:style>
  <w:style w:type="paragraph" w:customStyle="1" w:styleId="AIReceivedDate">
    <w:name w:val="AI_Received_Date"/>
    <w:basedOn w:val="Normal"/>
    <w:next w:val="Normal"/>
    <w:rsid w:val="004C3392"/>
    <w:pPr>
      <w:spacing w:after="240" w:line="480" w:lineRule="auto"/>
      <w:jc w:val="both"/>
    </w:pPr>
    <w:rPr>
      <w:rFonts w:ascii="Times" w:hAnsi="Times"/>
      <w:b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2F27AE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F27AE"/>
    <w:rPr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F27AE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F27AE"/>
    <w:rPr>
      <w:noProof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93E4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C3FE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4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2882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Federico Mazur</cp:lastModifiedBy>
  <cp:revision>3</cp:revision>
  <cp:lastPrinted>2013-06-13T05:15:00Z</cp:lastPrinted>
  <dcterms:created xsi:type="dcterms:W3CDTF">2019-09-01T21:55:00Z</dcterms:created>
  <dcterms:modified xsi:type="dcterms:W3CDTF">2019-09-01T22:26:00Z</dcterms:modified>
</cp:coreProperties>
</file>