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C64B" w14:textId="0AD1F49E" w:rsidR="00711813" w:rsidRPr="00AF1C1E" w:rsidRDefault="00536FD2" w:rsidP="00523E0F">
      <w:pPr>
        <w:jc w:val="both"/>
        <w:rPr>
          <w:rFonts w:ascii="Calibri" w:hAnsi="Calibri" w:cs="Calibri"/>
          <w:b/>
          <w:sz w:val="20"/>
          <w:szCs w:val="20"/>
          <w:lang w:val="en-AU"/>
        </w:rPr>
      </w:pPr>
      <w:r>
        <w:rPr>
          <w:rFonts w:ascii="Calibri" w:hAnsi="Calibri" w:cs="Calibri"/>
          <w:noProof/>
          <w:sz w:val="20"/>
          <w:szCs w:val="20"/>
        </w:rPr>
        <w:pict w14:anchorId="73CC2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58.3pt;margin-top:20.4pt;width:155.4pt;height:145.05pt;z-index:-1" wrapcoords="10118 304 10033 456 10089 730 10800 791 3553 1034 3098 1034 3098 1399 9095 1765 10800 1765 -28 1886 -28 19166 114 19288 512 19288 512 19866 2046 20261 2359 20261 2359 21205 3240 21235 16058 21235 17706 21205 17649 20809 10800 20748 19781 20626 19923 20353 20037 20261 21600 19896 21600 1886 10800 1765 12505 1765 18531 1399 18587 1065 18019 1004 11113 791 11368 548 11312 304 10118 304">
            <v:imagedata r:id="rId6" o:title=""/>
            <w10:wrap type="tight"/>
          </v:shape>
        </w:pict>
      </w:r>
      <w:r w:rsidR="00523E0F" w:rsidRPr="00AF1C1E">
        <w:rPr>
          <w:rFonts w:ascii="Calibri" w:hAnsi="Calibri" w:cs="Calibri"/>
          <w:b/>
          <w:i/>
          <w:iCs/>
          <w:sz w:val="20"/>
          <w:szCs w:val="20"/>
        </w:rPr>
        <w:t>In vivo</w:t>
      </w:r>
      <w:r w:rsidR="00523E0F" w:rsidRPr="00AF1C1E">
        <w:rPr>
          <w:rFonts w:ascii="Calibri" w:hAnsi="Calibri" w:cs="Calibri"/>
          <w:b/>
          <w:sz w:val="20"/>
          <w:szCs w:val="20"/>
        </w:rPr>
        <w:t xml:space="preserve"> </w:t>
      </w:r>
      <w:r w:rsidR="00F2455F">
        <w:rPr>
          <w:rFonts w:ascii="Calibri" w:hAnsi="Calibri" w:cs="Calibri"/>
          <w:b/>
          <w:sz w:val="20"/>
          <w:szCs w:val="20"/>
        </w:rPr>
        <w:t>Ca</w:t>
      </w:r>
      <w:r w:rsidR="00F2455F" w:rsidRPr="0033187F">
        <w:rPr>
          <w:rFonts w:ascii="Calibri" w:hAnsi="Calibri" w:cs="Calibri"/>
          <w:b/>
          <w:sz w:val="20"/>
          <w:szCs w:val="20"/>
          <w:vertAlign w:val="subscript"/>
        </w:rPr>
        <w:t>V</w:t>
      </w:r>
      <w:r w:rsidR="00F2455F">
        <w:rPr>
          <w:rFonts w:ascii="Calibri" w:hAnsi="Calibri" w:cs="Calibri"/>
          <w:b/>
          <w:sz w:val="20"/>
          <w:szCs w:val="20"/>
        </w:rPr>
        <w:t xml:space="preserve">3 </w:t>
      </w:r>
      <w:r w:rsidR="00523E0F" w:rsidRPr="00AF1C1E">
        <w:rPr>
          <w:rFonts w:ascii="Calibri" w:hAnsi="Calibri" w:cs="Calibri"/>
          <w:b/>
          <w:sz w:val="20"/>
          <w:szCs w:val="20"/>
        </w:rPr>
        <w:t>T-type calcium current block i</w:t>
      </w:r>
      <w:r w:rsidR="00F65C02">
        <w:rPr>
          <w:rFonts w:ascii="Calibri" w:hAnsi="Calibri" w:cs="Calibri"/>
          <w:b/>
          <w:sz w:val="20"/>
          <w:szCs w:val="20"/>
        </w:rPr>
        <w:t>mproves pain</w:t>
      </w:r>
      <w:r w:rsidR="007766B5">
        <w:rPr>
          <w:rFonts w:ascii="Calibri" w:hAnsi="Calibri" w:cs="Calibri"/>
          <w:b/>
          <w:sz w:val="20"/>
          <w:szCs w:val="20"/>
        </w:rPr>
        <w:t>-like</w:t>
      </w:r>
      <w:r w:rsidR="00F65C02">
        <w:rPr>
          <w:rFonts w:ascii="Calibri" w:hAnsi="Calibri" w:cs="Calibri"/>
          <w:b/>
          <w:sz w:val="20"/>
          <w:szCs w:val="20"/>
        </w:rPr>
        <w:t xml:space="preserve"> </w:t>
      </w:r>
      <w:proofErr w:type="spellStart"/>
      <w:r w:rsidR="00F65C02">
        <w:rPr>
          <w:rFonts w:ascii="Calibri" w:hAnsi="Calibri" w:cs="Calibri"/>
          <w:b/>
          <w:sz w:val="20"/>
          <w:szCs w:val="20"/>
        </w:rPr>
        <w:t>behaviours</w:t>
      </w:r>
      <w:proofErr w:type="spellEnd"/>
      <w:r w:rsidR="00F65C02">
        <w:rPr>
          <w:rFonts w:ascii="Calibri" w:hAnsi="Calibri" w:cs="Calibri"/>
          <w:b/>
          <w:sz w:val="20"/>
          <w:szCs w:val="20"/>
        </w:rPr>
        <w:t xml:space="preserve"> i</w:t>
      </w:r>
      <w:r w:rsidR="000C0F66" w:rsidRPr="00AF1C1E">
        <w:rPr>
          <w:rFonts w:ascii="Calibri" w:hAnsi="Calibri" w:cs="Calibri"/>
          <w:b/>
          <w:sz w:val="20"/>
          <w:szCs w:val="20"/>
        </w:rPr>
        <w:t xml:space="preserve">n a mouse model of </w:t>
      </w:r>
      <w:r w:rsidR="00F65C02">
        <w:rPr>
          <w:rFonts w:ascii="Calibri" w:hAnsi="Calibri" w:cs="Calibri"/>
          <w:b/>
          <w:sz w:val="20"/>
          <w:szCs w:val="20"/>
        </w:rPr>
        <w:t xml:space="preserve">chronic </w:t>
      </w:r>
      <w:r w:rsidR="000C0F66" w:rsidRPr="00AF1C1E">
        <w:rPr>
          <w:rFonts w:ascii="Calibri" w:hAnsi="Calibri" w:cs="Calibri"/>
          <w:b/>
          <w:sz w:val="20"/>
          <w:szCs w:val="20"/>
        </w:rPr>
        <w:t xml:space="preserve">chemotherapy-induced </w:t>
      </w:r>
      <w:r w:rsidR="009258D4">
        <w:rPr>
          <w:rFonts w:ascii="Calibri" w:hAnsi="Calibri" w:cs="Calibri"/>
          <w:b/>
          <w:sz w:val="20"/>
          <w:szCs w:val="20"/>
        </w:rPr>
        <w:t xml:space="preserve">peripheral </w:t>
      </w:r>
      <w:r w:rsidR="000C0F66" w:rsidRPr="00AF1C1E">
        <w:rPr>
          <w:rFonts w:ascii="Calibri" w:hAnsi="Calibri" w:cs="Calibri"/>
          <w:b/>
          <w:sz w:val="20"/>
          <w:szCs w:val="20"/>
        </w:rPr>
        <w:t>neuropath</w:t>
      </w:r>
      <w:r w:rsidR="00CD24BD">
        <w:rPr>
          <w:rFonts w:ascii="Calibri" w:hAnsi="Calibri" w:cs="Calibri"/>
          <w:b/>
          <w:sz w:val="20"/>
          <w:szCs w:val="20"/>
        </w:rPr>
        <w:t>y.</w:t>
      </w:r>
    </w:p>
    <w:p w14:paraId="60FCF6D9" w14:textId="44F9D755" w:rsidR="00711813" w:rsidRPr="00AF1C1E" w:rsidRDefault="00DB1D41" w:rsidP="00711813">
      <w:pPr>
        <w:jc w:val="both"/>
        <w:rPr>
          <w:rFonts w:ascii="Calibri" w:hAnsi="Calibri" w:cs="Calibri"/>
          <w:sz w:val="20"/>
          <w:szCs w:val="20"/>
          <w:vertAlign w:val="superscript"/>
          <w:lang w:val="en-AU"/>
        </w:rPr>
      </w:pPr>
      <w:r w:rsidRPr="00AF1C1E">
        <w:rPr>
          <w:rFonts w:ascii="Calibri" w:hAnsi="Calibri" w:cs="Calibri"/>
          <w:sz w:val="20"/>
          <w:szCs w:val="20"/>
          <w:lang w:val="en-AU"/>
        </w:rPr>
        <w:t>Sofia Fontana-Giusti</w:t>
      </w:r>
      <w:r w:rsidR="00711813" w:rsidRPr="00AF1C1E">
        <w:rPr>
          <w:rFonts w:ascii="Calibri" w:hAnsi="Calibri" w:cs="Calibri"/>
          <w:sz w:val="20"/>
          <w:szCs w:val="20"/>
          <w:lang w:val="en-AU"/>
        </w:rPr>
        <w:t>,</w:t>
      </w:r>
      <w:r w:rsidR="0029208C" w:rsidRPr="00AF1C1E">
        <w:rPr>
          <w:rFonts w:ascii="Calibri" w:hAnsi="Calibri" w:cs="Calibri"/>
          <w:sz w:val="20"/>
          <w:szCs w:val="20"/>
          <w:lang w:val="en-AU"/>
        </w:rPr>
        <w:t xml:space="preserve"> Maria Maiar</w:t>
      </w:r>
      <w:r w:rsidR="000D199B">
        <w:rPr>
          <w:rFonts w:ascii="Calibri" w:hAnsi="Calibri" w:cs="Calibri"/>
          <w:sz w:val="20"/>
          <w:szCs w:val="20"/>
          <w:lang w:val="en-AU"/>
        </w:rPr>
        <w:t>ú,</w:t>
      </w:r>
      <w:r w:rsidR="00711813" w:rsidRPr="00AF1C1E">
        <w:rPr>
          <w:rFonts w:ascii="Calibri" w:hAnsi="Calibri" w:cs="Calibri"/>
          <w:sz w:val="20"/>
          <w:szCs w:val="20"/>
          <w:lang w:val="en-AU"/>
        </w:rPr>
        <w:t xml:space="preserve"> </w:t>
      </w:r>
      <w:r w:rsidRPr="00AF1C1E">
        <w:rPr>
          <w:rFonts w:ascii="Calibri" w:hAnsi="Calibri" w:cs="Calibri"/>
          <w:sz w:val="20"/>
          <w:szCs w:val="20"/>
          <w:lang w:val="en-AU"/>
        </w:rPr>
        <w:t>Gary J Stephens</w:t>
      </w:r>
      <w:r w:rsidR="00711813" w:rsidRPr="00AF1C1E">
        <w:rPr>
          <w:rFonts w:ascii="Calibri" w:hAnsi="Calibri" w:cs="Calibri"/>
          <w:sz w:val="20"/>
          <w:szCs w:val="20"/>
          <w:lang w:val="en-AU"/>
        </w:rPr>
        <w:t xml:space="preserve">. </w:t>
      </w:r>
      <w:r w:rsidRPr="00AF1C1E">
        <w:rPr>
          <w:rFonts w:ascii="Calibri" w:hAnsi="Calibri" w:cs="Calibri"/>
          <w:sz w:val="20"/>
          <w:szCs w:val="20"/>
          <w:lang w:val="en-AU"/>
        </w:rPr>
        <w:t>Department of Pharmacology</w:t>
      </w:r>
      <w:r w:rsidR="00711813" w:rsidRPr="00AF1C1E">
        <w:rPr>
          <w:rFonts w:ascii="Calibri" w:hAnsi="Calibri" w:cs="Calibri"/>
          <w:sz w:val="20"/>
          <w:szCs w:val="20"/>
          <w:lang w:val="en-AU"/>
        </w:rPr>
        <w:t>,</w:t>
      </w:r>
      <w:r w:rsidRPr="00AF1C1E">
        <w:rPr>
          <w:rFonts w:ascii="Calibri" w:hAnsi="Calibri" w:cs="Calibri"/>
          <w:sz w:val="20"/>
          <w:szCs w:val="20"/>
          <w:lang w:val="en-AU"/>
        </w:rPr>
        <w:t xml:space="preserve"> School of Pharmacy,</w:t>
      </w:r>
      <w:r w:rsidR="00711813" w:rsidRPr="00AF1C1E">
        <w:rPr>
          <w:rFonts w:ascii="Calibri" w:hAnsi="Calibri" w:cs="Calibri"/>
          <w:sz w:val="20"/>
          <w:szCs w:val="20"/>
          <w:lang w:val="en-AU"/>
        </w:rPr>
        <w:t xml:space="preserve"> </w:t>
      </w:r>
      <w:r w:rsidRPr="00AF1C1E">
        <w:rPr>
          <w:rFonts w:ascii="Calibri" w:hAnsi="Calibri" w:cs="Calibri"/>
          <w:sz w:val="20"/>
          <w:szCs w:val="20"/>
          <w:lang w:val="en-AU"/>
        </w:rPr>
        <w:t>University of Reading</w:t>
      </w:r>
      <w:r w:rsidR="00711813" w:rsidRPr="00AF1C1E">
        <w:rPr>
          <w:rFonts w:ascii="Calibri" w:hAnsi="Calibri" w:cs="Calibri"/>
          <w:sz w:val="20"/>
          <w:szCs w:val="20"/>
          <w:lang w:val="en-AU"/>
        </w:rPr>
        <w:t xml:space="preserve">, </w:t>
      </w:r>
      <w:r w:rsidRPr="00AF1C1E">
        <w:rPr>
          <w:rFonts w:ascii="Calibri" w:hAnsi="Calibri" w:cs="Calibri"/>
          <w:sz w:val="20"/>
          <w:szCs w:val="20"/>
          <w:lang w:val="en-AU"/>
        </w:rPr>
        <w:t>Reading</w:t>
      </w:r>
      <w:r w:rsidR="00711813" w:rsidRPr="00AF1C1E">
        <w:rPr>
          <w:rFonts w:ascii="Calibri" w:hAnsi="Calibri" w:cs="Calibri"/>
          <w:sz w:val="20"/>
          <w:szCs w:val="20"/>
          <w:lang w:val="en-AU"/>
        </w:rPr>
        <w:t xml:space="preserve">, </w:t>
      </w:r>
      <w:r w:rsidRPr="00AF1C1E">
        <w:rPr>
          <w:rFonts w:ascii="Calibri" w:hAnsi="Calibri" w:cs="Calibri"/>
          <w:sz w:val="20"/>
          <w:szCs w:val="20"/>
          <w:lang w:val="en-AU"/>
        </w:rPr>
        <w:t>Berkshire</w:t>
      </w:r>
      <w:r w:rsidR="00EF12F3" w:rsidRPr="00AF1C1E">
        <w:rPr>
          <w:rFonts w:ascii="Calibri" w:hAnsi="Calibri" w:cs="Calibri"/>
          <w:sz w:val="20"/>
          <w:szCs w:val="20"/>
          <w:lang w:val="en-AU"/>
        </w:rPr>
        <w:t xml:space="preserve">, </w:t>
      </w:r>
      <w:r w:rsidRPr="00AF1C1E">
        <w:rPr>
          <w:rFonts w:ascii="Calibri" w:hAnsi="Calibri" w:cs="Calibri"/>
          <w:sz w:val="20"/>
          <w:szCs w:val="20"/>
          <w:lang w:val="en-AU"/>
        </w:rPr>
        <w:t>United Kingdom</w:t>
      </w:r>
    </w:p>
    <w:p w14:paraId="6396C73C" w14:textId="33DE31E2" w:rsidR="00711813" w:rsidRPr="00AF1C1E" w:rsidRDefault="00711813" w:rsidP="00711813">
      <w:pPr>
        <w:pStyle w:val="Default"/>
        <w:jc w:val="both"/>
        <w:rPr>
          <w:color w:val="auto"/>
          <w:sz w:val="20"/>
          <w:szCs w:val="20"/>
          <w:lang w:val="en-AU"/>
        </w:rPr>
      </w:pPr>
      <w:r w:rsidRPr="00AF1C1E">
        <w:rPr>
          <w:i/>
          <w:color w:val="auto"/>
          <w:sz w:val="20"/>
          <w:szCs w:val="20"/>
        </w:rPr>
        <w:t xml:space="preserve"> </w:t>
      </w:r>
    </w:p>
    <w:p w14:paraId="2A6631EC" w14:textId="03CDC86C" w:rsidR="00DB1D41" w:rsidRPr="00DB1D41" w:rsidRDefault="00711813" w:rsidP="00DB1D41">
      <w:pPr>
        <w:jc w:val="both"/>
        <w:rPr>
          <w:rFonts w:ascii="Calibri" w:hAnsi="Calibri" w:cs="Calibri"/>
          <w:sz w:val="20"/>
          <w:szCs w:val="20"/>
        </w:rPr>
      </w:pPr>
      <w:r w:rsidRPr="00AF1C1E">
        <w:rPr>
          <w:rFonts w:ascii="Calibri" w:hAnsi="Calibri" w:cs="Calibri"/>
          <w:sz w:val="20"/>
          <w:szCs w:val="20"/>
          <w:lang w:val="en-AU"/>
        </w:rPr>
        <w:t xml:space="preserve">Introduction. </w:t>
      </w:r>
      <w:r w:rsidR="00DB1D41" w:rsidRPr="00DB1D41">
        <w:rPr>
          <w:rFonts w:ascii="Calibri" w:hAnsi="Calibri" w:cs="Calibri"/>
          <w:sz w:val="20"/>
          <w:szCs w:val="20"/>
        </w:rPr>
        <w:t xml:space="preserve">Approximately 30% of cancer survivors </w:t>
      </w:r>
      <w:r w:rsidR="00F65C02">
        <w:rPr>
          <w:rFonts w:ascii="Calibri" w:hAnsi="Calibri" w:cs="Calibri"/>
          <w:sz w:val="20"/>
          <w:szCs w:val="20"/>
        </w:rPr>
        <w:t>suffer from</w:t>
      </w:r>
      <w:r w:rsidR="00DB1D41" w:rsidRPr="00DB1D41">
        <w:rPr>
          <w:rFonts w:ascii="Calibri" w:hAnsi="Calibri" w:cs="Calibri"/>
          <w:sz w:val="20"/>
          <w:szCs w:val="20"/>
        </w:rPr>
        <w:t xml:space="preserve"> chronic pain</w:t>
      </w:r>
      <w:r w:rsidR="00393F16">
        <w:rPr>
          <w:rFonts w:ascii="Calibri" w:hAnsi="Calibri" w:cs="Calibri"/>
          <w:sz w:val="20"/>
          <w:szCs w:val="20"/>
        </w:rPr>
        <w:t xml:space="preserve"> (Brown et al, 2014)</w:t>
      </w:r>
      <w:r w:rsidR="00DB1D41" w:rsidRPr="00DB1D41">
        <w:rPr>
          <w:rFonts w:ascii="Calibri" w:hAnsi="Calibri" w:cs="Calibri"/>
          <w:sz w:val="20"/>
          <w:szCs w:val="20"/>
        </w:rPr>
        <w:t xml:space="preserve">. Chemotherapy-induced peripheral neuropathy (CIPN) can develop from chemotherapeutics </w:t>
      </w:r>
      <w:r w:rsidR="00F2455F">
        <w:rPr>
          <w:rFonts w:ascii="Calibri" w:hAnsi="Calibri" w:cs="Calibri"/>
          <w:sz w:val="20"/>
          <w:szCs w:val="20"/>
        </w:rPr>
        <w:t>such as</w:t>
      </w:r>
      <w:r w:rsidR="00F2455F" w:rsidRPr="00DB1D41">
        <w:rPr>
          <w:rFonts w:ascii="Calibri" w:hAnsi="Calibri" w:cs="Calibri"/>
          <w:sz w:val="20"/>
          <w:szCs w:val="20"/>
        </w:rPr>
        <w:t xml:space="preserve"> </w:t>
      </w:r>
      <w:r w:rsidR="00DB1D41" w:rsidRPr="00DB1D41">
        <w:rPr>
          <w:rFonts w:ascii="Calibri" w:hAnsi="Calibri" w:cs="Calibri"/>
          <w:sz w:val="20"/>
          <w:szCs w:val="20"/>
        </w:rPr>
        <w:t>paclitaxel (PTX), causing prolonged tactile and thermal allodynia. Low-voltage</w:t>
      </w:r>
      <w:r w:rsidR="00F2455F">
        <w:rPr>
          <w:rFonts w:ascii="Calibri" w:hAnsi="Calibri" w:cs="Calibri"/>
          <w:sz w:val="20"/>
          <w:szCs w:val="20"/>
        </w:rPr>
        <w:t>-</w:t>
      </w:r>
      <w:r w:rsidR="00DB1D41" w:rsidRPr="00DB1D41">
        <w:rPr>
          <w:rFonts w:ascii="Calibri" w:hAnsi="Calibri" w:cs="Calibri"/>
          <w:sz w:val="20"/>
          <w:szCs w:val="20"/>
        </w:rPr>
        <w:t>activated Ca</w:t>
      </w:r>
      <w:r w:rsidR="00DB1D41" w:rsidRPr="00DB1D41">
        <w:rPr>
          <w:rFonts w:ascii="Calibri" w:hAnsi="Calibri" w:cs="Calibri"/>
          <w:sz w:val="20"/>
          <w:szCs w:val="20"/>
          <w:vertAlign w:val="subscript"/>
        </w:rPr>
        <w:t>V</w:t>
      </w:r>
      <w:r w:rsidR="00DB1D41" w:rsidRPr="00DB1D41">
        <w:rPr>
          <w:rFonts w:ascii="Calibri" w:hAnsi="Calibri" w:cs="Calibri"/>
          <w:sz w:val="20"/>
          <w:szCs w:val="20"/>
        </w:rPr>
        <w:t>3 channels are upregulat</w:t>
      </w:r>
      <w:r w:rsidR="000C0F66" w:rsidRPr="00AF1C1E">
        <w:rPr>
          <w:rFonts w:ascii="Calibri" w:hAnsi="Calibri" w:cs="Calibri"/>
          <w:sz w:val="20"/>
          <w:szCs w:val="20"/>
        </w:rPr>
        <w:t>ed</w:t>
      </w:r>
      <w:r w:rsidR="00DB1D41" w:rsidRPr="00DB1D41">
        <w:rPr>
          <w:rFonts w:ascii="Calibri" w:hAnsi="Calibri" w:cs="Calibri"/>
          <w:sz w:val="20"/>
          <w:szCs w:val="20"/>
        </w:rPr>
        <w:t xml:space="preserve"> in preclinical </w:t>
      </w:r>
      <w:r w:rsidR="00CD24BD">
        <w:rPr>
          <w:rFonts w:ascii="Calibri" w:hAnsi="Calibri" w:cs="Calibri"/>
          <w:sz w:val="20"/>
          <w:szCs w:val="20"/>
        </w:rPr>
        <w:t>studies</w:t>
      </w:r>
      <w:r w:rsidR="00DB1D41" w:rsidRPr="00DB1D41">
        <w:rPr>
          <w:rFonts w:ascii="Calibri" w:hAnsi="Calibri" w:cs="Calibri"/>
          <w:sz w:val="20"/>
          <w:szCs w:val="20"/>
        </w:rPr>
        <w:t xml:space="preserve"> of PTX-induced CIPN</w:t>
      </w:r>
      <w:r w:rsidR="00393F16">
        <w:rPr>
          <w:rFonts w:ascii="Calibri" w:hAnsi="Calibri" w:cs="Calibri"/>
          <w:sz w:val="20"/>
          <w:szCs w:val="20"/>
        </w:rPr>
        <w:t xml:space="preserve"> (Tomita et al, 2019)</w:t>
      </w:r>
      <w:r w:rsidR="00DB1D41" w:rsidRPr="00DB1D41">
        <w:rPr>
          <w:rFonts w:ascii="Calibri" w:hAnsi="Calibri" w:cs="Calibri"/>
          <w:sz w:val="20"/>
          <w:szCs w:val="20"/>
        </w:rPr>
        <w:t xml:space="preserve">. </w:t>
      </w:r>
    </w:p>
    <w:p w14:paraId="2D95FE81" w14:textId="539A44C6" w:rsidR="0029208C" w:rsidRPr="00AF1C1E" w:rsidRDefault="00711813" w:rsidP="00523E0F">
      <w:pPr>
        <w:jc w:val="both"/>
        <w:rPr>
          <w:rFonts w:ascii="Calibri" w:hAnsi="Calibri" w:cs="Calibri"/>
          <w:sz w:val="20"/>
          <w:szCs w:val="20"/>
        </w:rPr>
      </w:pPr>
      <w:r w:rsidRPr="00AF1C1E">
        <w:rPr>
          <w:rFonts w:ascii="Calibri" w:hAnsi="Calibri" w:cs="Calibri"/>
          <w:sz w:val="20"/>
          <w:szCs w:val="20"/>
          <w:lang w:val="en-AU"/>
        </w:rPr>
        <w:t xml:space="preserve">Aims. </w:t>
      </w:r>
      <w:r w:rsidR="0029208C" w:rsidRPr="00DB1D41">
        <w:rPr>
          <w:rFonts w:ascii="Calibri" w:hAnsi="Calibri" w:cs="Calibri"/>
          <w:sz w:val="20"/>
          <w:szCs w:val="20"/>
        </w:rPr>
        <w:t xml:space="preserve">This study </w:t>
      </w:r>
      <w:r w:rsidR="0029208C" w:rsidRPr="00AF1C1E">
        <w:rPr>
          <w:rFonts w:ascii="Calibri" w:hAnsi="Calibri" w:cs="Calibri"/>
          <w:sz w:val="20"/>
          <w:szCs w:val="20"/>
        </w:rPr>
        <w:t xml:space="preserve">aims </w:t>
      </w:r>
      <w:r w:rsidR="0029208C" w:rsidRPr="00DB1D41">
        <w:rPr>
          <w:rFonts w:ascii="Calibri" w:hAnsi="Calibri" w:cs="Calibri"/>
          <w:sz w:val="20"/>
          <w:szCs w:val="20"/>
        </w:rPr>
        <w:t>to elucidate the role of Ca</w:t>
      </w:r>
      <w:r w:rsidR="0029208C" w:rsidRPr="00DB1D41">
        <w:rPr>
          <w:rFonts w:ascii="Calibri" w:hAnsi="Calibri" w:cs="Calibri"/>
          <w:sz w:val="20"/>
          <w:szCs w:val="20"/>
          <w:vertAlign w:val="subscript"/>
        </w:rPr>
        <w:t>V</w:t>
      </w:r>
      <w:r w:rsidR="0029208C" w:rsidRPr="00DB1D41">
        <w:rPr>
          <w:rFonts w:ascii="Calibri" w:hAnsi="Calibri" w:cs="Calibri"/>
          <w:sz w:val="20"/>
          <w:szCs w:val="20"/>
        </w:rPr>
        <w:t xml:space="preserve">3 </w:t>
      </w:r>
      <w:r w:rsidR="003021B0" w:rsidRPr="00AF1C1E">
        <w:rPr>
          <w:rFonts w:ascii="Calibri" w:hAnsi="Calibri" w:cs="Calibri"/>
          <w:sz w:val="20"/>
          <w:szCs w:val="20"/>
        </w:rPr>
        <w:t xml:space="preserve">on CIPN-like </w:t>
      </w:r>
      <w:proofErr w:type="spellStart"/>
      <w:r w:rsidR="003021B0" w:rsidRPr="00AF1C1E">
        <w:rPr>
          <w:rFonts w:ascii="Calibri" w:hAnsi="Calibri" w:cs="Calibri"/>
          <w:sz w:val="20"/>
          <w:szCs w:val="20"/>
        </w:rPr>
        <w:t>behaviours</w:t>
      </w:r>
      <w:proofErr w:type="spellEnd"/>
      <w:r w:rsidR="003021B0" w:rsidRPr="00AF1C1E">
        <w:rPr>
          <w:rFonts w:ascii="Calibri" w:hAnsi="Calibri" w:cs="Calibri"/>
          <w:sz w:val="20"/>
          <w:szCs w:val="20"/>
        </w:rPr>
        <w:t xml:space="preserve"> in young and aged mice of both sexes, </w:t>
      </w:r>
      <w:r w:rsidR="0029208C" w:rsidRPr="00DB1D41">
        <w:rPr>
          <w:rFonts w:ascii="Calibri" w:hAnsi="Calibri" w:cs="Calibri"/>
          <w:sz w:val="20"/>
          <w:szCs w:val="20"/>
        </w:rPr>
        <w:t xml:space="preserve">by </w:t>
      </w:r>
      <w:r w:rsidR="0029208C" w:rsidRPr="00DB1D41">
        <w:rPr>
          <w:rFonts w:ascii="Calibri" w:hAnsi="Calibri" w:cs="Calibri"/>
          <w:i/>
          <w:iCs/>
          <w:sz w:val="20"/>
          <w:szCs w:val="20"/>
        </w:rPr>
        <w:t>in vivo</w:t>
      </w:r>
      <w:r w:rsidR="0029208C" w:rsidRPr="00DB1D41">
        <w:rPr>
          <w:rFonts w:ascii="Calibri" w:hAnsi="Calibri" w:cs="Calibri"/>
          <w:sz w:val="20"/>
          <w:szCs w:val="20"/>
        </w:rPr>
        <w:t xml:space="preserve"> block </w:t>
      </w:r>
      <w:r w:rsidR="000C0F66" w:rsidRPr="00AF1C1E">
        <w:rPr>
          <w:rFonts w:ascii="Calibri" w:hAnsi="Calibri" w:cs="Calibri"/>
          <w:sz w:val="20"/>
          <w:szCs w:val="20"/>
        </w:rPr>
        <w:t>with</w:t>
      </w:r>
      <w:r w:rsidR="003021B0" w:rsidRPr="00AF1C1E">
        <w:rPr>
          <w:rFonts w:ascii="Calibri" w:hAnsi="Calibri" w:cs="Calibri"/>
          <w:sz w:val="20"/>
          <w:szCs w:val="20"/>
        </w:rPr>
        <w:t xml:space="preserve"> selective </w:t>
      </w:r>
      <w:r w:rsidR="003021B0" w:rsidRPr="00DB1D41">
        <w:rPr>
          <w:rFonts w:ascii="Calibri" w:hAnsi="Calibri" w:cs="Calibri"/>
          <w:sz w:val="20"/>
          <w:szCs w:val="20"/>
        </w:rPr>
        <w:t>Ca</w:t>
      </w:r>
      <w:r w:rsidR="003021B0" w:rsidRPr="00DB1D41">
        <w:rPr>
          <w:rFonts w:ascii="Calibri" w:hAnsi="Calibri" w:cs="Calibri"/>
          <w:sz w:val="20"/>
          <w:szCs w:val="20"/>
          <w:vertAlign w:val="subscript"/>
        </w:rPr>
        <w:t>V</w:t>
      </w:r>
      <w:r w:rsidR="003021B0" w:rsidRPr="00DB1D41">
        <w:rPr>
          <w:rFonts w:ascii="Calibri" w:hAnsi="Calibri" w:cs="Calibri"/>
          <w:sz w:val="20"/>
          <w:szCs w:val="20"/>
        </w:rPr>
        <w:t>3</w:t>
      </w:r>
      <w:r w:rsidR="00F2455F">
        <w:rPr>
          <w:rFonts w:ascii="Calibri" w:hAnsi="Calibri" w:cs="Calibri"/>
          <w:sz w:val="20"/>
          <w:szCs w:val="20"/>
        </w:rPr>
        <w:t xml:space="preserve"> family</w:t>
      </w:r>
      <w:r w:rsidR="003021B0" w:rsidRPr="00AF1C1E">
        <w:rPr>
          <w:rFonts w:ascii="Calibri" w:hAnsi="Calibri" w:cs="Calibri"/>
          <w:sz w:val="20"/>
          <w:szCs w:val="20"/>
        </w:rPr>
        <w:t xml:space="preserve"> inhibitor TTA-P2.</w:t>
      </w:r>
    </w:p>
    <w:p w14:paraId="6E51778C" w14:textId="652C16EE" w:rsidR="00523E0F" w:rsidRPr="00AF1C1E" w:rsidRDefault="00711813" w:rsidP="00523E0F">
      <w:pPr>
        <w:jc w:val="both"/>
        <w:rPr>
          <w:rFonts w:ascii="Calibri" w:hAnsi="Calibri" w:cs="Calibri"/>
          <w:sz w:val="20"/>
          <w:szCs w:val="20"/>
        </w:rPr>
      </w:pPr>
      <w:r w:rsidRPr="00AF1C1E">
        <w:rPr>
          <w:rFonts w:ascii="Calibri" w:hAnsi="Calibri" w:cs="Calibri"/>
          <w:sz w:val="20"/>
          <w:szCs w:val="20"/>
          <w:lang w:val="en-AU"/>
        </w:rPr>
        <w:t xml:space="preserve">Methods. </w:t>
      </w:r>
      <w:r w:rsidR="00523E0F" w:rsidRPr="00AF1C1E">
        <w:rPr>
          <w:rFonts w:ascii="Calibri" w:hAnsi="Calibri" w:cs="Calibri"/>
          <w:sz w:val="20"/>
          <w:szCs w:val="20"/>
        </w:rPr>
        <w:t xml:space="preserve">Aged (15-month-old) </w:t>
      </w:r>
      <w:r w:rsidR="00DC7941" w:rsidRPr="00AF1C1E">
        <w:rPr>
          <w:rFonts w:ascii="Calibri" w:hAnsi="Calibri" w:cs="Calibri"/>
          <w:sz w:val="20"/>
          <w:szCs w:val="20"/>
        </w:rPr>
        <w:t>a</w:t>
      </w:r>
      <w:r w:rsidR="0029208C" w:rsidRPr="00AF1C1E">
        <w:rPr>
          <w:rFonts w:ascii="Calibri" w:hAnsi="Calibri" w:cs="Calibri"/>
          <w:sz w:val="20"/>
          <w:szCs w:val="20"/>
        </w:rPr>
        <w:t>nd young adult (</w:t>
      </w:r>
      <w:r w:rsidR="00DC7941" w:rsidRPr="00AF1C1E">
        <w:rPr>
          <w:rFonts w:ascii="Calibri" w:hAnsi="Calibri" w:cs="Calibri"/>
          <w:sz w:val="20"/>
          <w:szCs w:val="20"/>
        </w:rPr>
        <w:t>10-weeks-old</w:t>
      </w:r>
      <w:r w:rsidR="0029208C" w:rsidRPr="00AF1C1E">
        <w:rPr>
          <w:rFonts w:ascii="Calibri" w:hAnsi="Calibri" w:cs="Calibri"/>
          <w:sz w:val="20"/>
          <w:szCs w:val="20"/>
        </w:rPr>
        <w:t xml:space="preserve">) </w:t>
      </w:r>
      <w:r w:rsidR="00523E0F" w:rsidRPr="00AF1C1E">
        <w:rPr>
          <w:rFonts w:ascii="Calibri" w:hAnsi="Calibri" w:cs="Calibri"/>
          <w:sz w:val="20"/>
          <w:szCs w:val="20"/>
        </w:rPr>
        <w:t xml:space="preserve">male and female </w:t>
      </w:r>
      <w:r w:rsidR="003021B0" w:rsidRPr="00AF1C1E">
        <w:rPr>
          <w:rFonts w:ascii="Calibri" w:hAnsi="Calibri" w:cs="Calibri"/>
          <w:sz w:val="20"/>
          <w:szCs w:val="20"/>
        </w:rPr>
        <w:t>C57BL6</w:t>
      </w:r>
      <w:r w:rsidR="00523E0F" w:rsidRPr="00AF1C1E">
        <w:rPr>
          <w:rFonts w:ascii="Calibri" w:hAnsi="Calibri" w:cs="Calibri"/>
          <w:sz w:val="20"/>
          <w:szCs w:val="20"/>
        </w:rPr>
        <w:t xml:space="preserve"> mice received</w:t>
      </w:r>
      <w:r w:rsidR="00CD24BD">
        <w:rPr>
          <w:rFonts w:ascii="Calibri" w:hAnsi="Calibri" w:cs="Calibri"/>
          <w:sz w:val="20"/>
          <w:szCs w:val="20"/>
        </w:rPr>
        <w:t xml:space="preserve"> a regimen of </w:t>
      </w:r>
      <w:r w:rsidR="003F3AF0">
        <w:rPr>
          <w:rFonts w:ascii="Calibri" w:hAnsi="Calibri" w:cs="Calibri"/>
          <w:sz w:val="20"/>
          <w:szCs w:val="20"/>
        </w:rPr>
        <w:t xml:space="preserve">4 </w:t>
      </w:r>
      <w:proofErr w:type="spellStart"/>
      <w:r w:rsidR="003F3AF0">
        <w:rPr>
          <w:rFonts w:ascii="Calibri" w:hAnsi="Calibri" w:cs="Calibri"/>
          <w:sz w:val="20"/>
          <w:szCs w:val="20"/>
        </w:rPr>
        <w:t>ip</w:t>
      </w:r>
      <w:proofErr w:type="spellEnd"/>
      <w:r w:rsidR="00F2455F">
        <w:rPr>
          <w:rFonts w:ascii="Calibri" w:hAnsi="Calibri" w:cs="Calibri"/>
          <w:sz w:val="20"/>
          <w:szCs w:val="20"/>
        </w:rPr>
        <w:t xml:space="preserve"> </w:t>
      </w:r>
      <w:r w:rsidR="00DC7941" w:rsidRPr="00AF1C1E">
        <w:rPr>
          <w:rFonts w:ascii="Calibri" w:hAnsi="Calibri" w:cs="Calibri"/>
          <w:sz w:val="20"/>
          <w:szCs w:val="20"/>
        </w:rPr>
        <w:t xml:space="preserve">PTX </w:t>
      </w:r>
      <w:r w:rsidR="00CD24BD">
        <w:rPr>
          <w:rFonts w:ascii="Calibri" w:hAnsi="Calibri" w:cs="Calibri"/>
          <w:sz w:val="20"/>
          <w:szCs w:val="20"/>
        </w:rPr>
        <w:t>injections (4 mg/kg) over</w:t>
      </w:r>
      <w:r w:rsidR="00523E0F" w:rsidRPr="00AF1C1E">
        <w:rPr>
          <w:rFonts w:ascii="Calibri" w:hAnsi="Calibri" w:cs="Calibri"/>
          <w:sz w:val="20"/>
          <w:szCs w:val="20"/>
        </w:rPr>
        <w:t xml:space="preserve"> 8 days</w:t>
      </w:r>
      <w:r w:rsidR="00393F16">
        <w:rPr>
          <w:rFonts w:ascii="Calibri" w:hAnsi="Calibri" w:cs="Calibri"/>
          <w:sz w:val="20"/>
          <w:szCs w:val="20"/>
        </w:rPr>
        <w:t xml:space="preserve"> (M</w:t>
      </w:r>
      <w:proofErr w:type="spellStart"/>
      <w:r w:rsidR="00393F16" w:rsidRPr="00AF1C1E">
        <w:rPr>
          <w:rFonts w:ascii="Calibri" w:hAnsi="Calibri" w:cs="Calibri"/>
          <w:sz w:val="20"/>
          <w:szCs w:val="20"/>
          <w:lang w:val="en-AU"/>
        </w:rPr>
        <w:t>aiar</w:t>
      </w:r>
      <w:r w:rsidR="00393F16">
        <w:rPr>
          <w:rFonts w:ascii="Calibri" w:hAnsi="Calibri" w:cs="Calibri"/>
          <w:sz w:val="20"/>
          <w:szCs w:val="20"/>
          <w:lang w:val="en-AU"/>
        </w:rPr>
        <w:t>ú</w:t>
      </w:r>
      <w:proofErr w:type="spellEnd"/>
      <w:r w:rsidR="00393F16">
        <w:rPr>
          <w:rFonts w:ascii="Calibri" w:hAnsi="Calibri" w:cs="Calibri"/>
          <w:sz w:val="20"/>
          <w:szCs w:val="20"/>
          <w:lang w:val="en-AU"/>
        </w:rPr>
        <w:t xml:space="preserve"> et al</w:t>
      </w:r>
      <w:r w:rsidR="00477825">
        <w:rPr>
          <w:rFonts w:ascii="Calibri" w:hAnsi="Calibri" w:cs="Calibri"/>
          <w:sz w:val="20"/>
          <w:szCs w:val="20"/>
          <w:lang w:val="en-AU"/>
        </w:rPr>
        <w:t>,</w:t>
      </w:r>
      <w:r w:rsidR="00393F16">
        <w:rPr>
          <w:rFonts w:ascii="Calibri" w:hAnsi="Calibri" w:cs="Calibri"/>
          <w:sz w:val="20"/>
          <w:szCs w:val="20"/>
          <w:lang w:val="en-AU"/>
        </w:rPr>
        <w:t xml:space="preserve"> 2018)</w:t>
      </w:r>
      <w:r w:rsidR="00523E0F" w:rsidRPr="00AF1C1E">
        <w:rPr>
          <w:rFonts w:ascii="Calibri" w:hAnsi="Calibri" w:cs="Calibri"/>
          <w:sz w:val="20"/>
          <w:szCs w:val="20"/>
        </w:rPr>
        <w:t xml:space="preserve">. Mice </w:t>
      </w:r>
      <w:r w:rsidR="00CD24BD">
        <w:rPr>
          <w:rFonts w:ascii="Calibri" w:hAnsi="Calibri" w:cs="Calibri"/>
          <w:sz w:val="20"/>
          <w:szCs w:val="20"/>
        </w:rPr>
        <w:t>were then injected</w:t>
      </w:r>
      <w:r w:rsidR="00F2455F">
        <w:rPr>
          <w:rFonts w:ascii="Calibri" w:hAnsi="Calibri" w:cs="Calibri"/>
          <w:sz w:val="20"/>
          <w:szCs w:val="20"/>
        </w:rPr>
        <w:t xml:space="preserve"> </w:t>
      </w:r>
      <w:r w:rsidR="00CD24BD">
        <w:rPr>
          <w:rFonts w:ascii="Calibri" w:hAnsi="Calibri" w:cs="Calibri"/>
          <w:sz w:val="20"/>
          <w:szCs w:val="20"/>
        </w:rPr>
        <w:t>with</w:t>
      </w:r>
      <w:r w:rsidR="00523E0F" w:rsidRPr="00AF1C1E">
        <w:rPr>
          <w:rFonts w:ascii="Calibri" w:hAnsi="Calibri" w:cs="Calibri"/>
          <w:sz w:val="20"/>
          <w:szCs w:val="20"/>
        </w:rPr>
        <w:t xml:space="preserve"> </w:t>
      </w:r>
      <w:proofErr w:type="spellStart"/>
      <w:r w:rsidR="003F3AF0">
        <w:rPr>
          <w:rFonts w:ascii="Calibri" w:hAnsi="Calibri" w:cs="Calibri"/>
          <w:sz w:val="20"/>
          <w:szCs w:val="20"/>
        </w:rPr>
        <w:t>ip</w:t>
      </w:r>
      <w:proofErr w:type="spellEnd"/>
      <w:r w:rsidR="003F3AF0">
        <w:rPr>
          <w:rFonts w:ascii="Calibri" w:hAnsi="Calibri" w:cs="Calibri"/>
          <w:sz w:val="20"/>
          <w:szCs w:val="20"/>
        </w:rPr>
        <w:t xml:space="preserve"> </w:t>
      </w:r>
      <w:r w:rsidR="00523E0F" w:rsidRPr="00AF1C1E">
        <w:rPr>
          <w:rFonts w:ascii="Calibri" w:hAnsi="Calibri" w:cs="Calibri"/>
          <w:sz w:val="20"/>
          <w:szCs w:val="20"/>
        </w:rPr>
        <w:t xml:space="preserve">TTA-P2 or vehicle </w:t>
      </w:r>
      <w:r w:rsidR="00DC7941" w:rsidRPr="00AF1C1E">
        <w:rPr>
          <w:rFonts w:ascii="Calibri" w:hAnsi="Calibri" w:cs="Calibri"/>
          <w:sz w:val="20"/>
          <w:szCs w:val="20"/>
        </w:rPr>
        <w:t xml:space="preserve">during pain development and </w:t>
      </w:r>
      <w:r w:rsidR="00752A38">
        <w:rPr>
          <w:rFonts w:ascii="Calibri" w:hAnsi="Calibri" w:cs="Calibri"/>
          <w:sz w:val="20"/>
          <w:szCs w:val="20"/>
        </w:rPr>
        <w:t xml:space="preserve">again </w:t>
      </w:r>
      <w:r w:rsidR="00DC7941" w:rsidRPr="00AF1C1E">
        <w:rPr>
          <w:rFonts w:ascii="Calibri" w:hAnsi="Calibri" w:cs="Calibri"/>
          <w:sz w:val="20"/>
          <w:szCs w:val="20"/>
        </w:rPr>
        <w:t xml:space="preserve">at the peak of pain-like </w:t>
      </w:r>
      <w:proofErr w:type="spellStart"/>
      <w:r w:rsidR="00DC7941" w:rsidRPr="00AF1C1E">
        <w:rPr>
          <w:rFonts w:ascii="Calibri" w:hAnsi="Calibri" w:cs="Calibri"/>
          <w:sz w:val="20"/>
          <w:szCs w:val="20"/>
        </w:rPr>
        <w:t>behaviours</w:t>
      </w:r>
      <w:proofErr w:type="spellEnd"/>
      <w:r w:rsidR="00523E0F" w:rsidRPr="00AF1C1E">
        <w:rPr>
          <w:rFonts w:ascii="Calibri" w:hAnsi="Calibri" w:cs="Calibri"/>
          <w:sz w:val="20"/>
          <w:szCs w:val="20"/>
        </w:rPr>
        <w:t xml:space="preserve">. </w:t>
      </w:r>
      <w:r w:rsidR="00D25ABE">
        <w:rPr>
          <w:rFonts w:ascii="Calibri" w:hAnsi="Calibri" w:cs="Calibri"/>
          <w:sz w:val="20"/>
          <w:szCs w:val="20"/>
        </w:rPr>
        <w:t>Injections were carried out under 2% isoflurane using an induction chamber.</w:t>
      </w:r>
    </w:p>
    <w:p w14:paraId="46642A26" w14:textId="6C55D432" w:rsidR="00523E0F" w:rsidRPr="00AF1C1E" w:rsidRDefault="00711813" w:rsidP="00711813">
      <w:pPr>
        <w:jc w:val="both"/>
        <w:rPr>
          <w:rFonts w:ascii="Calibri" w:hAnsi="Calibri" w:cs="Calibri"/>
          <w:sz w:val="20"/>
          <w:szCs w:val="20"/>
        </w:rPr>
      </w:pPr>
      <w:r w:rsidRPr="00AF1C1E">
        <w:rPr>
          <w:rFonts w:ascii="Calibri" w:hAnsi="Calibri" w:cs="Calibri"/>
          <w:sz w:val="20"/>
          <w:szCs w:val="20"/>
          <w:lang w:val="en-AU"/>
        </w:rPr>
        <w:t xml:space="preserve">Results. </w:t>
      </w:r>
      <w:r w:rsidR="00523E0F" w:rsidRPr="00523E0F">
        <w:rPr>
          <w:rFonts w:ascii="Calibri" w:hAnsi="Calibri" w:cs="Calibri"/>
          <w:sz w:val="20"/>
          <w:szCs w:val="20"/>
        </w:rPr>
        <w:t>In</w:t>
      </w:r>
      <w:r w:rsidR="0029208C" w:rsidRPr="00AF1C1E">
        <w:rPr>
          <w:rFonts w:ascii="Calibri" w:hAnsi="Calibri" w:cs="Calibri"/>
          <w:sz w:val="20"/>
          <w:szCs w:val="20"/>
        </w:rPr>
        <w:t xml:space="preserve"> aged</w:t>
      </w:r>
      <w:r w:rsidR="00523E0F" w:rsidRPr="00523E0F">
        <w:rPr>
          <w:rFonts w:ascii="Calibri" w:hAnsi="Calibri" w:cs="Calibri"/>
          <w:sz w:val="20"/>
          <w:szCs w:val="20"/>
        </w:rPr>
        <w:t xml:space="preserve"> </w:t>
      </w:r>
      <w:r w:rsidR="0029208C" w:rsidRPr="00AF1C1E">
        <w:rPr>
          <w:rFonts w:ascii="Calibri" w:hAnsi="Calibri" w:cs="Calibri"/>
          <w:sz w:val="20"/>
          <w:szCs w:val="20"/>
        </w:rPr>
        <w:t>mice</w:t>
      </w:r>
      <w:r w:rsidR="00523E0F" w:rsidRPr="00523E0F">
        <w:rPr>
          <w:rFonts w:ascii="Calibri" w:hAnsi="Calibri" w:cs="Calibri"/>
          <w:sz w:val="20"/>
          <w:szCs w:val="20"/>
        </w:rPr>
        <w:t xml:space="preserve">, TTA-P2 </w:t>
      </w:r>
      <w:r w:rsidR="00F65C02">
        <w:rPr>
          <w:rFonts w:ascii="Calibri" w:hAnsi="Calibri" w:cs="Calibri"/>
          <w:sz w:val="20"/>
          <w:szCs w:val="20"/>
        </w:rPr>
        <w:t xml:space="preserve">improved </w:t>
      </w:r>
      <w:r w:rsidR="00523E0F" w:rsidRPr="00523E0F">
        <w:rPr>
          <w:rFonts w:ascii="Calibri" w:hAnsi="Calibri" w:cs="Calibri"/>
          <w:sz w:val="20"/>
          <w:szCs w:val="20"/>
        </w:rPr>
        <w:t xml:space="preserve">mechanical hypersensitivity (3-way ANOVA: factor ‘treatment’, p=0.00035, ‘sex’ p=0.099), with a </w:t>
      </w:r>
      <w:r w:rsidR="00F65C02">
        <w:rPr>
          <w:rFonts w:ascii="Calibri" w:hAnsi="Calibri" w:cs="Calibri"/>
          <w:sz w:val="20"/>
          <w:szCs w:val="20"/>
        </w:rPr>
        <w:t>longer-lasting</w:t>
      </w:r>
      <w:r w:rsidR="00523E0F" w:rsidRPr="00523E0F">
        <w:rPr>
          <w:rFonts w:ascii="Calibri" w:hAnsi="Calibri" w:cs="Calibri"/>
          <w:sz w:val="20"/>
          <w:szCs w:val="20"/>
        </w:rPr>
        <w:t xml:space="preserve"> antinociceptive effect when given </w:t>
      </w:r>
      <w:r w:rsidR="00F65C02">
        <w:rPr>
          <w:rFonts w:ascii="Calibri" w:hAnsi="Calibri" w:cs="Calibri"/>
          <w:sz w:val="20"/>
          <w:szCs w:val="20"/>
        </w:rPr>
        <w:t>during</w:t>
      </w:r>
      <w:r w:rsidR="0029208C" w:rsidRPr="00AF1C1E">
        <w:rPr>
          <w:rFonts w:ascii="Calibri" w:hAnsi="Calibri" w:cs="Calibri"/>
          <w:sz w:val="20"/>
          <w:szCs w:val="20"/>
        </w:rPr>
        <w:t xml:space="preserve"> development of </w:t>
      </w:r>
      <w:r w:rsidR="00523E0F" w:rsidRPr="00523E0F">
        <w:rPr>
          <w:rFonts w:ascii="Calibri" w:hAnsi="Calibri" w:cs="Calibri"/>
          <w:sz w:val="20"/>
          <w:szCs w:val="20"/>
        </w:rPr>
        <w:t>PTX</w:t>
      </w:r>
      <w:r w:rsidR="0029208C" w:rsidRPr="00AF1C1E">
        <w:rPr>
          <w:rFonts w:ascii="Calibri" w:hAnsi="Calibri" w:cs="Calibri"/>
          <w:sz w:val="20"/>
          <w:szCs w:val="20"/>
        </w:rPr>
        <w:t>-induced pain</w:t>
      </w:r>
      <w:r w:rsidR="00752A38">
        <w:rPr>
          <w:rFonts w:ascii="Calibri" w:hAnsi="Calibri" w:cs="Calibri"/>
          <w:sz w:val="20"/>
          <w:szCs w:val="20"/>
        </w:rPr>
        <w:t xml:space="preserve"> (Figure 1)</w:t>
      </w:r>
      <w:r w:rsidR="0033187F">
        <w:rPr>
          <w:rFonts w:ascii="Calibri" w:hAnsi="Calibri" w:cs="Calibri"/>
          <w:sz w:val="20"/>
          <w:szCs w:val="20"/>
        </w:rPr>
        <w:t>.</w:t>
      </w:r>
      <w:r w:rsidR="00523E0F" w:rsidRPr="00523E0F">
        <w:rPr>
          <w:rFonts w:ascii="Calibri" w:hAnsi="Calibri" w:cs="Calibri"/>
          <w:sz w:val="20"/>
          <w:szCs w:val="20"/>
        </w:rPr>
        <w:t xml:space="preserve"> TTA-P2 </w:t>
      </w:r>
      <w:r w:rsidR="00DC7941" w:rsidRPr="00AF1C1E">
        <w:rPr>
          <w:rFonts w:ascii="Calibri" w:hAnsi="Calibri" w:cs="Calibri"/>
          <w:sz w:val="20"/>
          <w:szCs w:val="20"/>
        </w:rPr>
        <w:t xml:space="preserve">was more effective at </w:t>
      </w:r>
      <w:r w:rsidR="00523E0F" w:rsidRPr="00523E0F">
        <w:rPr>
          <w:rFonts w:ascii="Calibri" w:hAnsi="Calibri" w:cs="Calibri"/>
          <w:sz w:val="20"/>
          <w:szCs w:val="20"/>
        </w:rPr>
        <w:t>improv</w:t>
      </w:r>
      <w:r w:rsidR="00DC7941" w:rsidRPr="00AF1C1E">
        <w:rPr>
          <w:rFonts w:ascii="Calibri" w:hAnsi="Calibri" w:cs="Calibri"/>
          <w:sz w:val="20"/>
          <w:szCs w:val="20"/>
        </w:rPr>
        <w:t>ing c</w:t>
      </w:r>
      <w:r w:rsidR="00523E0F" w:rsidRPr="00523E0F">
        <w:rPr>
          <w:rFonts w:ascii="Calibri" w:hAnsi="Calibri" w:cs="Calibri"/>
          <w:sz w:val="20"/>
          <w:szCs w:val="20"/>
        </w:rPr>
        <w:t xml:space="preserve">old hypersensitivity in </w:t>
      </w:r>
      <w:r w:rsidR="00DC7941" w:rsidRPr="00AF1C1E">
        <w:rPr>
          <w:rFonts w:ascii="Calibri" w:hAnsi="Calibri" w:cs="Calibri"/>
          <w:sz w:val="20"/>
          <w:szCs w:val="20"/>
        </w:rPr>
        <w:t xml:space="preserve">aged </w:t>
      </w:r>
      <w:r w:rsidR="00523E0F" w:rsidRPr="00523E0F">
        <w:rPr>
          <w:rFonts w:ascii="Calibri" w:hAnsi="Calibri" w:cs="Calibri"/>
          <w:sz w:val="20"/>
          <w:szCs w:val="20"/>
        </w:rPr>
        <w:t xml:space="preserve">females </w:t>
      </w:r>
      <w:r w:rsidR="00DC7941" w:rsidRPr="00AF1C1E">
        <w:rPr>
          <w:rFonts w:ascii="Calibri" w:hAnsi="Calibri" w:cs="Calibri"/>
          <w:sz w:val="20"/>
          <w:szCs w:val="20"/>
        </w:rPr>
        <w:t xml:space="preserve">than aged males </w:t>
      </w:r>
      <w:r w:rsidR="00523E0F" w:rsidRPr="00523E0F">
        <w:rPr>
          <w:rFonts w:ascii="Calibri" w:hAnsi="Calibri" w:cs="Calibri"/>
          <w:sz w:val="20"/>
          <w:szCs w:val="20"/>
        </w:rPr>
        <w:t>(3-way ANOVA: factor ‘treatment’ p= 0.033, ‘sex’ p= 0.047).</w:t>
      </w:r>
    </w:p>
    <w:p w14:paraId="0BB1CA0D" w14:textId="6FCD4C11" w:rsidR="00F65C02" w:rsidRDefault="00711813" w:rsidP="00F65C02">
      <w:pPr>
        <w:jc w:val="both"/>
        <w:rPr>
          <w:rFonts w:ascii="Calibri" w:hAnsi="Calibri" w:cs="Calibri"/>
          <w:sz w:val="20"/>
          <w:szCs w:val="20"/>
        </w:rPr>
      </w:pPr>
      <w:r w:rsidRPr="00AF1C1E">
        <w:rPr>
          <w:rFonts w:ascii="Calibri" w:hAnsi="Calibri" w:cs="Calibri"/>
          <w:sz w:val="20"/>
          <w:szCs w:val="20"/>
          <w:lang w:val="en-AU"/>
        </w:rPr>
        <w:t xml:space="preserve">Discussion. </w:t>
      </w:r>
      <w:r w:rsidR="0029208C" w:rsidRPr="00AF1C1E">
        <w:rPr>
          <w:rFonts w:ascii="Calibri" w:hAnsi="Calibri" w:cs="Calibri"/>
          <w:sz w:val="20"/>
          <w:szCs w:val="20"/>
        </w:rPr>
        <w:t>Our</w:t>
      </w:r>
      <w:r w:rsidR="00523E0F" w:rsidRPr="00523E0F">
        <w:rPr>
          <w:rFonts w:ascii="Calibri" w:hAnsi="Calibri" w:cs="Calibri"/>
          <w:sz w:val="20"/>
          <w:szCs w:val="20"/>
        </w:rPr>
        <w:t xml:space="preserve"> data suggest that Ca</w:t>
      </w:r>
      <w:r w:rsidR="00523E0F" w:rsidRPr="00523E0F">
        <w:rPr>
          <w:rFonts w:ascii="Calibri" w:hAnsi="Calibri" w:cs="Calibri"/>
          <w:sz w:val="20"/>
          <w:szCs w:val="20"/>
          <w:vertAlign w:val="subscript"/>
        </w:rPr>
        <w:t>V</w:t>
      </w:r>
      <w:r w:rsidR="00523E0F" w:rsidRPr="00523E0F">
        <w:rPr>
          <w:rFonts w:ascii="Calibri" w:hAnsi="Calibri" w:cs="Calibri"/>
          <w:sz w:val="20"/>
          <w:szCs w:val="20"/>
        </w:rPr>
        <w:t>3 channels are involved in CIPN development in a time- and sex-dependent manner. No effective</w:t>
      </w:r>
      <w:r w:rsidR="00F65C02">
        <w:rPr>
          <w:rFonts w:ascii="Calibri" w:hAnsi="Calibri" w:cs="Calibri"/>
          <w:sz w:val="20"/>
          <w:szCs w:val="20"/>
        </w:rPr>
        <w:t xml:space="preserve"> analgesic</w:t>
      </w:r>
      <w:r w:rsidR="00523E0F" w:rsidRPr="00523E0F">
        <w:rPr>
          <w:rFonts w:ascii="Calibri" w:hAnsi="Calibri" w:cs="Calibri"/>
          <w:sz w:val="20"/>
          <w:szCs w:val="20"/>
        </w:rPr>
        <w:t xml:space="preserve"> </w:t>
      </w:r>
      <w:r w:rsidR="00F65C02">
        <w:rPr>
          <w:rFonts w:ascii="Calibri" w:hAnsi="Calibri" w:cs="Calibri"/>
          <w:sz w:val="20"/>
          <w:szCs w:val="20"/>
        </w:rPr>
        <w:t>strategies</w:t>
      </w:r>
      <w:r w:rsidR="00523E0F" w:rsidRPr="00523E0F">
        <w:rPr>
          <w:rFonts w:ascii="Calibri" w:hAnsi="Calibri" w:cs="Calibri"/>
          <w:sz w:val="20"/>
          <w:szCs w:val="20"/>
        </w:rPr>
        <w:t xml:space="preserve"> currently exist for CIPN and </w:t>
      </w:r>
      <w:r w:rsidR="00CD24BD">
        <w:rPr>
          <w:rFonts w:ascii="Calibri" w:hAnsi="Calibri" w:cs="Calibri"/>
          <w:sz w:val="20"/>
          <w:szCs w:val="20"/>
        </w:rPr>
        <w:t>the inclusion of</w:t>
      </w:r>
      <w:r w:rsidR="00523E0F" w:rsidRPr="00523E0F">
        <w:rPr>
          <w:rFonts w:ascii="Calibri" w:hAnsi="Calibri" w:cs="Calibri"/>
          <w:sz w:val="20"/>
          <w:szCs w:val="20"/>
        </w:rPr>
        <w:t xml:space="preserve"> sex</w:t>
      </w:r>
      <w:r w:rsidR="00F65C02">
        <w:rPr>
          <w:rFonts w:ascii="Calibri" w:hAnsi="Calibri" w:cs="Calibri"/>
          <w:sz w:val="20"/>
          <w:szCs w:val="20"/>
        </w:rPr>
        <w:t xml:space="preserve"> and age as variables</w:t>
      </w:r>
      <w:r w:rsidR="00523E0F" w:rsidRPr="00523E0F">
        <w:rPr>
          <w:rFonts w:ascii="Calibri" w:hAnsi="Calibri" w:cs="Calibri"/>
          <w:sz w:val="20"/>
          <w:szCs w:val="20"/>
        </w:rPr>
        <w:t xml:space="preserve"> </w:t>
      </w:r>
      <w:r w:rsidR="00CD24BD">
        <w:rPr>
          <w:rFonts w:ascii="Calibri" w:hAnsi="Calibri" w:cs="Calibri"/>
          <w:sz w:val="20"/>
          <w:szCs w:val="20"/>
        </w:rPr>
        <w:t xml:space="preserve">in preclinical research </w:t>
      </w:r>
      <w:r w:rsidR="00F65C02">
        <w:rPr>
          <w:rFonts w:ascii="Calibri" w:hAnsi="Calibri" w:cs="Calibri"/>
          <w:sz w:val="20"/>
          <w:szCs w:val="20"/>
        </w:rPr>
        <w:t>are</w:t>
      </w:r>
      <w:r w:rsidR="00523E0F" w:rsidRPr="00523E0F">
        <w:rPr>
          <w:rFonts w:ascii="Calibri" w:hAnsi="Calibri" w:cs="Calibri"/>
          <w:sz w:val="20"/>
          <w:szCs w:val="20"/>
        </w:rPr>
        <w:t xml:space="preserve"> </w:t>
      </w:r>
      <w:r w:rsidR="00F65C02">
        <w:rPr>
          <w:rFonts w:ascii="Calibri" w:hAnsi="Calibri" w:cs="Calibri"/>
          <w:sz w:val="20"/>
          <w:szCs w:val="20"/>
        </w:rPr>
        <w:t xml:space="preserve">vital </w:t>
      </w:r>
      <w:r w:rsidR="00CD24BD">
        <w:rPr>
          <w:rFonts w:ascii="Calibri" w:hAnsi="Calibri" w:cs="Calibri"/>
          <w:sz w:val="20"/>
          <w:szCs w:val="20"/>
        </w:rPr>
        <w:t xml:space="preserve">to </w:t>
      </w:r>
      <w:r w:rsidR="00F65C02">
        <w:rPr>
          <w:rFonts w:ascii="Calibri" w:hAnsi="Calibri" w:cs="Calibri"/>
          <w:sz w:val="20"/>
          <w:szCs w:val="20"/>
        </w:rPr>
        <w:t xml:space="preserve">advancing </w:t>
      </w:r>
      <w:r w:rsidR="00550EFE">
        <w:rPr>
          <w:rFonts w:ascii="Calibri" w:hAnsi="Calibri" w:cs="Calibri"/>
          <w:sz w:val="20"/>
          <w:szCs w:val="20"/>
        </w:rPr>
        <w:t>understanding</w:t>
      </w:r>
      <w:r w:rsidR="00F65C02">
        <w:rPr>
          <w:rFonts w:ascii="Calibri" w:hAnsi="Calibri" w:cs="Calibri"/>
          <w:sz w:val="20"/>
          <w:szCs w:val="20"/>
        </w:rPr>
        <w:t xml:space="preserve"> </w:t>
      </w:r>
      <w:r w:rsidR="00CD24BD">
        <w:rPr>
          <w:rFonts w:ascii="Calibri" w:hAnsi="Calibri" w:cs="Calibri"/>
          <w:sz w:val="20"/>
          <w:szCs w:val="20"/>
        </w:rPr>
        <w:t>of</w:t>
      </w:r>
      <w:r w:rsidR="00F65C02">
        <w:rPr>
          <w:rFonts w:ascii="Calibri" w:hAnsi="Calibri" w:cs="Calibri"/>
          <w:sz w:val="20"/>
          <w:szCs w:val="20"/>
        </w:rPr>
        <w:t xml:space="preserve"> this debilitating </w:t>
      </w:r>
      <w:r w:rsidR="000D199B">
        <w:rPr>
          <w:rFonts w:ascii="Calibri" w:hAnsi="Calibri" w:cs="Calibri"/>
          <w:sz w:val="20"/>
          <w:szCs w:val="20"/>
        </w:rPr>
        <w:t>neuropathy</w:t>
      </w:r>
      <w:r w:rsidR="00F65C02">
        <w:rPr>
          <w:rFonts w:ascii="Calibri" w:hAnsi="Calibri" w:cs="Calibri"/>
          <w:sz w:val="20"/>
          <w:szCs w:val="20"/>
        </w:rPr>
        <w:t>.</w:t>
      </w:r>
      <w:r w:rsidR="00523E0F" w:rsidRPr="00523E0F">
        <w:rPr>
          <w:rFonts w:ascii="Calibri" w:hAnsi="Calibri" w:cs="Calibri"/>
          <w:sz w:val="20"/>
          <w:szCs w:val="20"/>
        </w:rPr>
        <w:t xml:space="preserve"> </w:t>
      </w:r>
    </w:p>
    <w:p w14:paraId="3EA10AD2" w14:textId="77777777" w:rsidR="00CD24BD" w:rsidRDefault="00CD24BD" w:rsidP="00F65C02">
      <w:pPr>
        <w:jc w:val="both"/>
        <w:rPr>
          <w:rFonts w:ascii="Calibri" w:hAnsi="Calibri" w:cs="Calibri"/>
          <w:sz w:val="20"/>
          <w:szCs w:val="20"/>
        </w:rPr>
      </w:pPr>
    </w:p>
    <w:p w14:paraId="4328F9AC" w14:textId="1A10ED64" w:rsidR="00AF1C1E" w:rsidRPr="00CD24BD" w:rsidRDefault="00DC7941" w:rsidP="00CD24BD">
      <w:pPr>
        <w:jc w:val="both"/>
        <w:rPr>
          <w:rFonts w:ascii="Calibri" w:hAnsi="Calibri" w:cs="Calibri"/>
          <w:sz w:val="20"/>
          <w:szCs w:val="20"/>
        </w:rPr>
      </w:pPr>
      <w:r w:rsidRPr="00AF1C1E">
        <w:rPr>
          <w:rFonts w:ascii="Calibri" w:hAnsi="Calibri" w:cs="Calibri"/>
          <w:noProof/>
          <w:sz w:val="20"/>
          <w:szCs w:val="20"/>
        </w:rPr>
        <w:t>Brown, M.R.D., et al</w:t>
      </w:r>
      <w:r w:rsidR="00E4609F" w:rsidRPr="00AF1C1E">
        <w:rPr>
          <w:rFonts w:ascii="Calibri" w:hAnsi="Calibri" w:cs="Calibri"/>
          <w:noProof/>
          <w:sz w:val="20"/>
          <w:szCs w:val="20"/>
        </w:rPr>
        <w:t xml:space="preserve"> (2014) </w:t>
      </w:r>
      <w:r w:rsidRPr="00AF1C1E">
        <w:rPr>
          <w:rFonts w:ascii="Calibri" w:hAnsi="Calibri" w:cs="Calibri"/>
          <w:noProof/>
          <w:sz w:val="20"/>
          <w:szCs w:val="20"/>
        </w:rPr>
        <w:t xml:space="preserve"> Br J Pain </w:t>
      </w:r>
      <w:r w:rsidRPr="00AF1C1E">
        <w:rPr>
          <w:rFonts w:ascii="Calibri" w:hAnsi="Calibri" w:cs="Calibri"/>
          <w:b/>
          <w:noProof/>
          <w:sz w:val="20"/>
          <w:szCs w:val="20"/>
        </w:rPr>
        <w:t>8</w:t>
      </w:r>
      <w:r w:rsidRPr="00AF1C1E">
        <w:rPr>
          <w:rFonts w:ascii="Calibri" w:hAnsi="Calibri" w:cs="Calibri"/>
          <w:noProof/>
          <w:sz w:val="20"/>
          <w:szCs w:val="20"/>
        </w:rPr>
        <w:t>(4): p.139-153</w:t>
      </w:r>
      <w:r w:rsidR="00477825">
        <w:rPr>
          <w:rFonts w:ascii="Calibri" w:hAnsi="Calibri" w:cs="Calibri"/>
          <w:noProof/>
          <w:sz w:val="20"/>
          <w:szCs w:val="20"/>
        </w:rPr>
        <w:t>,</w:t>
      </w:r>
      <w:r w:rsidR="00477825" w:rsidRPr="00AF1C1E">
        <w:rPr>
          <w:rFonts w:ascii="Calibri" w:hAnsi="Calibri" w:cs="Calibri"/>
          <w:noProof/>
          <w:sz w:val="20"/>
          <w:szCs w:val="20"/>
        </w:rPr>
        <w:t xml:space="preserve"> Maiarù, M., et al. (2018) Pain </w:t>
      </w:r>
      <w:r w:rsidR="00477825" w:rsidRPr="00AF1C1E">
        <w:rPr>
          <w:rFonts w:ascii="Calibri" w:hAnsi="Calibri" w:cs="Calibri"/>
          <w:b/>
          <w:noProof/>
          <w:sz w:val="20"/>
          <w:szCs w:val="20"/>
        </w:rPr>
        <w:t>159</w:t>
      </w:r>
      <w:r w:rsidR="00477825" w:rsidRPr="00AF1C1E">
        <w:rPr>
          <w:rFonts w:ascii="Calibri" w:hAnsi="Calibri" w:cs="Calibri"/>
          <w:noProof/>
          <w:sz w:val="20"/>
          <w:szCs w:val="20"/>
        </w:rPr>
        <w:t>(7): p. 1224-1234</w:t>
      </w:r>
      <w:r w:rsidR="00536FD2">
        <w:rPr>
          <w:rFonts w:ascii="Calibri" w:hAnsi="Calibri" w:cs="Calibri"/>
          <w:noProof/>
          <w:sz w:val="20"/>
          <w:szCs w:val="20"/>
        </w:rPr>
        <w:t xml:space="preserve">, </w:t>
      </w:r>
      <w:r w:rsidRPr="00AF1C1E">
        <w:rPr>
          <w:rFonts w:ascii="Calibri" w:hAnsi="Calibri" w:cs="Calibri"/>
          <w:noProof/>
          <w:sz w:val="20"/>
          <w:szCs w:val="20"/>
        </w:rPr>
        <w:t>Tomita, S., et al.</w:t>
      </w:r>
      <w:r w:rsidR="00E4609F" w:rsidRPr="00AF1C1E">
        <w:rPr>
          <w:rFonts w:ascii="Calibri" w:hAnsi="Calibri" w:cs="Calibri"/>
          <w:noProof/>
          <w:sz w:val="20"/>
          <w:szCs w:val="20"/>
        </w:rPr>
        <w:t xml:space="preserve"> (2019) </w:t>
      </w:r>
      <w:r w:rsidRPr="00AF1C1E">
        <w:rPr>
          <w:rFonts w:ascii="Calibri" w:hAnsi="Calibri" w:cs="Calibri"/>
          <w:noProof/>
          <w:sz w:val="20"/>
          <w:szCs w:val="20"/>
        </w:rPr>
        <w:t xml:space="preserve">Toxicology </w:t>
      </w:r>
      <w:r w:rsidRPr="00AF1C1E">
        <w:rPr>
          <w:rFonts w:ascii="Calibri" w:hAnsi="Calibri" w:cs="Calibri"/>
          <w:b/>
          <w:noProof/>
          <w:sz w:val="20"/>
          <w:szCs w:val="20"/>
        </w:rPr>
        <w:t>413</w:t>
      </w:r>
      <w:r w:rsidRPr="00AF1C1E">
        <w:rPr>
          <w:rFonts w:ascii="Calibri" w:hAnsi="Calibri" w:cs="Calibri"/>
          <w:noProof/>
          <w:sz w:val="20"/>
          <w:szCs w:val="20"/>
        </w:rPr>
        <w:t>: p. 33-39.</w:t>
      </w:r>
      <w:r w:rsidR="00F65C02">
        <w:rPr>
          <w:rFonts w:ascii="Calibri" w:hAnsi="Calibri" w:cs="Calibri"/>
          <w:noProof/>
          <w:sz w:val="20"/>
          <w:szCs w:val="20"/>
        </w:rPr>
        <w:t xml:space="preserve"> </w:t>
      </w:r>
    </w:p>
    <w:sectPr w:rsidR="00AF1C1E" w:rsidRPr="00CD24BD"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519C3"/>
    <w:rsid w:val="00057340"/>
    <w:rsid w:val="000A4FA6"/>
    <w:rsid w:val="000C0F66"/>
    <w:rsid w:val="000D199B"/>
    <w:rsid w:val="002226BB"/>
    <w:rsid w:val="002272B0"/>
    <w:rsid w:val="00266E7E"/>
    <w:rsid w:val="0029208C"/>
    <w:rsid w:val="002C603F"/>
    <w:rsid w:val="00300B92"/>
    <w:rsid w:val="003021B0"/>
    <w:rsid w:val="003238D9"/>
    <w:rsid w:val="0033187F"/>
    <w:rsid w:val="003553F4"/>
    <w:rsid w:val="00387491"/>
    <w:rsid w:val="00393F16"/>
    <w:rsid w:val="003F3AF0"/>
    <w:rsid w:val="00444224"/>
    <w:rsid w:val="00477825"/>
    <w:rsid w:val="00483B05"/>
    <w:rsid w:val="004E28B9"/>
    <w:rsid w:val="004E3506"/>
    <w:rsid w:val="004E50FC"/>
    <w:rsid w:val="004E5450"/>
    <w:rsid w:val="00523E0F"/>
    <w:rsid w:val="00536FD2"/>
    <w:rsid w:val="00550EFE"/>
    <w:rsid w:val="0059609A"/>
    <w:rsid w:val="00597659"/>
    <w:rsid w:val="005D1700"/>
    <w:rsid w:val="005E3A38"/>
    <w:rsid w:val="005E48A2"/>
    <w:rsid w:val="005E62BE"/>
    <w:rsid w:val="00711813"/>
    <w:rsid w:val="00724E3C"/>
    <w:rsid w:val="00743C46"/>
    <w:rsid w:val="007478D4"/>
    <w:rsid w:val="00752A38"/>
    <w:rsid w:val="00760B17"/>
    <w:rsid w:val="007766B5"/>
    <w:rsid w:val="007E35D5"/>
    <w:rsid w:val="00885303"/>
    <w:rsid w:val="008909C9"/>
    <w:rsid w:val="009258D4"/>
    <w:rsid w:val="00947B77"/>
    <w:rsid w:val="0095726C"/>
    <w:rsid w:val="00986CD3"/>
    <w:rsid w:val="009E2228"/>
    <w:rsid w:val="009F06D6"/>
    <w:rsid w:val="00A0138E"/>
    <w:rsid w:val="00A266B4"/>
    <w:rsid w:val="00A71DEF"/>
    <w:rsid w:val="00AE2DA6"/>
    <w:rsid w:val="00AF1C1E"/>
    <w:rsid w:val="00B650E7"/>
    <w:rsid w:val="00BC5FCC"/>
    <w:rsid w:val="00BF68F1"/>
    <w:rsid w:val="00C00573"/>
    <w:rsid w:val="00C132EC"/>
    <w:rsid w:val="00C60A71"/>
    <w:rsid w:val="00CD24BD"/>
    <w:rsid w:val="00D078BB"/>
    <w:rsid w:val="00D25ABE"/>
    <w:rsid w:val="00D55F3B"/>
    <w:rsid w:val="00DA2731"/>
    <w:rsid w:val="00DB1D41"/>
    <w:rsid w:val="00DC7941"/>
    <w:rsid w:val="00E4609F"/>
    <w:rsid w:val="00EF12F3"/>
    <w:rsid w:val="00F02477"/>
    <w:rsid w:val="00F2455F"/>
    <w:rsid w:val="00F65C02"/>
    <w:rsid w:val="00F90F73"/>
    <w:rsid w:val="00F97620"/>
    <w:rsid w:val="00FB0A69"/>
    <w:rsid w:val="00FE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431FFE9"/>
  <w15:chartTrackingRefBased/>
  <w15:docId w15:val="{CC351405-744C-4013-9330-BC1CD991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customStyle="1" w:styleId="EndNoteBibliography">
    <w:name w:val="EndNote Bibliography"/>
    <w:basedOn w:val="Normal"/>
    <w:link w:val="EndNoteBibliographyChar"/>
    <w:rsid w:val="00DC7941"/>
    <w:pPr>
      <w:spacing w:after="160"/>
      <w:jc w:val="both"/>
    </w:pPr>
    <w:rPr>
      <w:rFonts w:ascii="Aptos" w:eastAsia="Calibri" w:hAnsi="Aptos"/>
      <w:kern w:val="2"/>
    </w:rPr>
  </w:style>
  <w:style w:type="character" w:customStyle="1" w:styleId="EndNoteBibliographyChar">
    <w:name w:val="EndNote Bibliography Char"/>
    <w:link w:val="EndNoteBibliography"/>
    <w:rsid w:val="00DC7941"/>
    <w:rPr>
      <w:rFonts w:ascii="Aptos" w:eastAsia="Calibri" w:hAnsi="Aptos"/>
      <w:kern w:val="2"/>
      <w:sz w:val="24"/>
      <w:szCs w:val="24"/>
      <w:lang w:val="en-US" w:eastAsia="en-US"/>
    </w:rPr>
  </w:style>
  <w:style w:type="paragraph" w:styleId="Revision">
    <w:name w:val="Revision"/>
    <w:hidden/>
    <w:uiPriority w:val="99"/>
    <w:semiHidden/>
    <w:rsid w:val="00F2455F"/>
    <w:rPr>
      <w:sz w:val="24"/>
      <w:szCs w:val="24"/>
      <w:lang w:val="en-US" w:eastAsia="en-US"/>
    </w:rPr>
  </w:style>
  <w:style w:type="character" w:styleId="CommentReference">
    <w:name w:val="annotation reference"/>
    <w:uiPriority w:val="99"/>
    <w:semiHidden/>
    <w:unhideWhenUsed/>
    <w:rsid w:val="00F2455F"/>
    <w:rPr>
      <w:sz w:val="16"/>
      <w:szCs w:val="16"/>
    </w:rPr>
  </w:style>
  <w:style w:type="paragraph" w:styleId="CommentText">
    <w:name w:val="annotation text"/>
    <w:basedOn w:val="Normal"/>
    <w:link w:val="CommentTextChar"/>
    <w:uiPriority w:val="99"/>
    <w:semiHidden/>
    <w:unhideWhenUsed/>
    <w:rsid w:val="00F2455F"/>
    <w:rPr>
      <w:sz w:val="20"/>
      <w:szCs w:val="20"/>
    </w:rPr>
  </w:style>
  <w:style w:type="character" w:customStyle="1" w:styleId="CommentTextChar">
    <w:name w:val="Comment Text Char"/>
    <w:link w:val="CommentText"/>
    <w:uiPriority w:val="99"/>
    <w:semiHidden/>
    <w:rsid w:val="00F2455F"/>
    <w:rPr>
      <w:lang w:val="en-US" w:eastAsia="en-US"/>
    </w:rPr>
  </w:style>
  <w:style w:type="paragraph" w:styleId="CommentSubject">
    <w:name w:val="annotation subject"/>
    <w:basedOn w:val="CommentText"/>
    <w:next w:val="CommentText"/>
    <w:link w:val="CommentSubjectChar"/>
    <w:uiPriority w:val="99"/>
    <w:semiHidden/>
    <w:unhideWhenUsed/>
    <w:rsid w:val="00F2455F"/>
    <w:rPr>
      <w:b/>
      <w:bCs/>
    </w:rPr>
  </w:style>
  <w:style w:type="character" w:customStyle="1" w:styleId="CommentSubjectChar">
    <w:name w:val="Comment Subject Char"/>
    <w:link w:val="CommentSubject"/>
    <w:uiPriority w:val="99"/>
    <w:semiHidden/>
    <w:rsid w:val="00F2455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Sofia Fontana-Giusti</cp:lastModifiedBy>
  <cp:revision>12</cp:revision>
  <cp:lastPrinted>2013-06-13T14:15:00Z</cp:lastPrinted>
  <dcterms:created xsi:type="dcterms:W3CDTF">2025-09-15T11:27:00Z</dcterms:created>
  <dcterms:modified xsi:type="dcterms:W3CDTF">2025-09-15T12:07:00Z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