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35391E5E" w:rsidR="00711813" w:rsidRPr="00DF1C8E" w:rsidRDefault="00FC04BA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A ‘mild’ method to make high-quality </w:t>
      </w: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InP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 xml:space="preserve"> quantum dots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4E47977" w:rsidR="00DF1C8E" w:rsidRPr="005F19FF" w:rsidRDefault="00FC04BA" w:rsidP="00F26BBE">
      <w:pPr>
        <w:jc w:val="center"/>
        <w:rPr>
          <w:rFonts w:ascii="Calibri" w:hAnsi="Calibri" w:cs="Calibri"/>
          <w:i/>
          <w:lang w:val="en-AU"/>
        </w:rPr>
      </w:pPr>
      <w:proofErr w:type="spellStart"/>
      <w:r>
        <w:rPr>
          <w:rFonts w:ascii="Calibri" w:hAnsi="Calibri" w:cs="Calibri"/>
          <w:i/>
          <w:lang w:val="en-AU"/>
        </w:rPr>
        <w:t>Geoffry</w:t>
      </w:r>
      <w:proofErr w:type="spellEnd"/>
      <w:r>
        <w:rPr>
          <w:rFonts w:ascii="Calibri" w:hAnsi="Calibri" w:cs="Calibri"/>
          <w:i/>
          <w:lang w:val="en-AU"/>
        </w:rPr>
        <w:t xml:space="preserve"> </w:t>
      </w:r>
      <w:proofErr w:type="spellStart"/>
      <w:r>
        <w:rPr>
          <w:rFonts w:ascii="Calibri" w:hAnsi="Calibri" w:cs="Calibri"/>
          <w:i/>
          <w:lang w:val="en-AU"/>
        </w:rPr>
        <w:t>Lauersky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Thomas </w:t>
      </w:r>
      <w:proofErr w:type="spellStart"/>
      <w:r>
        <w:rPr>
          <w:rFonts w:ascii="Calibri" w:hAnsi="Calibri" w:cs="Calibri"/>
          <w:i/>
          <w:lang w:val="en-AU"/>
        </w:rPr>
        <w:t>Nann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</w:p>
    <w:p w14:paraId="6CC7B3AF" w14:textId="77777777" w:rsidR="00FC04BA" w:rsidRPr="006B3866" w:rsidRDefault="00FC04BA" w:rsidP="00FC04BA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of Chemical and Physical Sciences, Victoria University of Wellington, Wellington, New Zealand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of Mathematical and Physical Sciences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University of Newcastle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Newcastle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Australia</w:t>
      </w:r>
      <w:r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B7AEC59" w14:textId="3C42BDD8" w:rsidR="00FC04BA" w:rsidRPr="00FC04BA" w:rsidRDefault="00FC04BA" w:rsidP="00FC04BA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FC04BA">
        <w:rPr>
          <w:rFonts w:ascii="Calibri" w:hAnsi="Calibri" w:cs="Calibri"/>
          <w:sz w:val="22"/>
          <w:szCs w:val="22"/>
          <w:lang w:val="en-AU"/>
        </w:rPr>
        <w:t>Colloidal indium phosphide (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>) quantum dots are an attractive alternative to the frequently studied and used cadmium selenide (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CdSe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) ones. They luminesce in a similar range of the visible spectrum while being much less toxic. However, synthesis methods that result in high-quality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 quantum dots require tris-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trimethylsilylphosphine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 ((TMS)3P) as a reagent.</w:t>
      </w:r>
      <w:r w:rsidRPr="00FC04BA">
        <w:rPr>
          <w:rFonts w:ascii="Calibri" w:hAnsi="Calibri" w:cs="Calibri"/>
          <w:sz w:val="22"/>
          <w:szCs w:val="22"/>
          <w:vertAlign w:val="superscript"/>
          <w:lang w:val="en-AU"/>
        </w:rPr>
        <w:t>1–3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 Unfortunately, (TMS)3P is not commercially available in some countries including Australia and New Zealand. This makes the synthesis of high-quality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 quantum dots extremely difficult for researchers in these countries. Recently, Song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et al. 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and Tessier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et al. 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described a new synthesis method that does not require (TMS)3P, thus allowing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Aussis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 and Kiwis to fabricate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 quantum dots.</w:t>
      </w:r>
      <w:r w:rsidRPr="00FC04BA">
        <w:rPr>
          <w:rFonts w:ascii="Calibri" w:hAnsi="Calibri" w:cs="Calibri"/>
          <w:sz w:val="22"/>
          <w:szCs w:val="22"/>
          <w:vertAlign w:val="superscript"/>
          <w:lang w:val="en-AU"/>
        </w:rPr>
        <w:t>4,5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 Compared with the more hazardous methods mentioned above, the new synthesis results in particles of moderate optical quality and the synthesis mechanism is poorly understood.</w:t>
      </w:r>
      <w:r w:rsidRPr="00FC04BA">
        <w:rPr>
          <w:rFonts w:ascii="Calibri" w:hAnsi="Calibri" w:cs="Calibri"/>
          <w:sz w:val="22"/>
          <w:szCs w:val="22"/>
          <w:vertAlign w:val="superscript"/>
          <w:lang w:val="en-AU"/>
        </w:rPr>
        <w:t>6,7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 We present a</w:t>
      </w:r>
      <w:r>
        <w:rPr>
          <w:rFonts w:ascii="Calibri" w:hAnsi="Calibri" w:cs="Calibri"/>
          <w:sz w:val="22"/>
          <w:szCs w:val="22"/>
          <w:lang w:val="en-AU"/>
        </w:rPr>
        <w:t>n experimental and theoretical (DFT)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 study that aims at elucidating the synthesis mechanism of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 quantum dots using the non-(TMS)3P route. </w:t>
      </w:r>
    </w:p>
    <w:p w14:paraId="257B3067" w14:textId="5DF69F4F" w:rsidR="00FC04BA" w:rsidRDefault="00FC04BA" w:rsidP="00FC04BA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94A8FA3" w14:textId="197A274A" w:rsidR="00FC04BA" w:rsidRDefault="00FC04BA" w:rsidP="00FC04BA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Our study enabled us to explain the role of zinc salts in the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quantum dot synthesis and then modifying the standard synthesis method taking the learnings from the theoretical calculations into account. The resulting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InP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quantum dots are of unprecedented quality using this method, and do not even require a glove-box for their preparation.</w:t>
      </w:r>
    </w:p>
    <w:p w14:paraId="4AF617AA" w14:textId="63F9F322" w:rsidR="00FC04BA" w:rsidRDefault="00FC04BA" w:rsidP="00FC04BA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6F150CC" w14:textId="31A6ECE8" w:rsidR="00FC04BA" w:rsidRPr="00FC04BA" w:rsidRDefault="00FC04BA" w:rsidP="00FC04BA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04E6BB23" w14:textId="2DA61A85" w:rsidR="00FC04BA" w:rsidRPr="00FC04BA" w:rsidRDefault="00FC04BA" w:rsidP="00FC04BA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Calibri" w:hAnsi="Calibri" w:cs="Calibri"/>
          <w:sz w:val="22"/>
          <w:szCs w:val="22"/>
          <w:lang w:val="en-AU"/>
        </w:rPr>
      </w:pPr>
      <w:r w:rsidRPr="00FC04BA">
        <w:rPr>
          <w:rFonts w:ascii="Calibri" w:hAnsi="Calibri" w:cs="Calibri"/>
          <w:sz w:val="22"/>
          <w:szCs w:val="22"/>
          <w:lang w:val="en-AU"/>
        </w:rPr>
        <w:t xml:space="preserve">Li, L.; Reiss, P.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J. Am. Chem. Soc. </w:t>
      </w:r>
      <w:r w:rsidRPr="00FC04BA">
        <w:rPr>
          <w:rFonts w:ascii="Calibri" w:hAnsi="Calibri" w:cs="Calibri"/>
          <w:b/>
          <w:bCs/>
          <w:sz w:val="22"/>
          <w:szCs w:val="22"/>
          <w:lang w:val="en-AU"/>
        </w:rPr>
        <w:t>2008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130 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(35), 11588. </w:t>
      </w:r>
    </w:p>
    <w:p w14:paraId="22A5DF52" w14:textId="57B07B68" w:rsidR="00FC04BA" w:rsidRPr="00FC04BA" w:rsidRDefault="00FC04BA" w:rsidP="00FC04BA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Calibri" w:hAnsi="Calibri" w:cs="Calibri"/>
          <w:sz w:val="22"/>
          <w:szCs w:val="22"/>
          <w:lang w:val="en-AU"/>
        </w:rPr>
      </w:pPr>
      <w:r w:rsidRPr="00FC04BA">
        <w:rPr>
          <w:rFonts w:ascii="Calibri" w:hAnsi="Calibri" w:cs="Calibri"/>
          <w:sz w:val="22"/>
          <w:szCs w:val="22"/>
          <w:lang w:val="en-AU"/>
        </w:rPr>
        <w:t xml:space="preserve">Lucey, D. W.;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MacRae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, D. J.;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Furis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, M.; Sahoo, Y.; Cartwright, A. N.; Prasad, P. N.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Chem. Mater. </w:t>
      </w:r>
      <w:r w:rsidRPr="00FC04BA">
        <w:rPr>
          <w:rFonts w:ascii="Calibri" w:hAnsi="Calibri" w:cs="Calibri"/>
          <w:b/>
          <w:bCs/>
          <w:sz w:val="22"/>
          <w:szCs w:val="22"/>
          <w:lang w:val="en-AU"/>
        </w:rPr>
        <w:t>2005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17 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(14), 3754. </w:t>
      </w:r>
    </w:p>
    <w:p w14:paraId="507509B5" w14:textId="7B21D5D6" w:rsidR="00FC04BA" w:rsidRPr="00FC04BA" w:rsidRDefault="00FC04BA" w:rsidP="00FC04BA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Calibri" w:hAnsi="Calibri" w:cs="Calibri"/>
          <w:sz w:val="22"/>
          <w:szCs w:val="22"/>
          <w:lang w:val="en-AU"/>
        </w:rPr>
      </w:pPr>
      <w:r w:rsidRPr="00FC04BA">
        <w:rPr>
          <w:rFonts w:ascii="Calibri" w:hAnsi="Calibri" w:cs="Calibri"/>
          <w:sz w:val="22"/>
          <w:szCs w:val="22"/>
          <w:lang w:val="en-AU"/>
        </w:rPr>
        <w:t xml:space="preserve">Xu, S.; Kumar, S.; Nann, T.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J Am Chem Soc </w:t>
      </w:r>
      <w:r w:rsidRPr="00FC04BA">
        <w:rPr>
          <w:rFonts w:ascii="Calibri" w:hAnsi="Calibri" w:cs="Calibri"/>
          <w:b/>
          <w:bCs/>
          <w:sz w:val="22"/>
          <w:szCs w:val="22"/>
          <w:lang w:val="en-AU"/>
        </w:rPr>
        <w:t>2006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128 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(4), 1054. </w:t>
      </w:r>
    </w:p>
    <w:p w14:paraId="35023215" w14:textId="2E22AE08" w:rsidR="00FC04BA" w:rsidRPr="00FC04BA" w:rsidRDefault="00FC04BA" w:rsidP="00FC04BA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Calibri" w:hAnsi="Calibri" w:cs="Calibri"/>
          <w:sz w:val="22"/>
          <w:szCs w:val="22"/>
          <w:lang w:val="en-AU"/>
        </w:rPr>
      </w:pPr>
      <w:r w:rsidRPr="00FC04BA">
        <w:rPr>
          <w:rFonts w:ascii="Calibri" w:hAnsi="Calibri" w:cs="Calibri"/>
          <w:sz w:val="22"/>
          <w:szCs w:val="22"/>
          <w:lang w:val="en-AU"/>
        </w:rPr>
        <w:t xml:space="preserve">Song, W.-S.; Lee, H.-S.; Lee, J. C.; Jang, D. S.; Choi, Y.; Choi, M.; Yang, H.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J. Nanoparticle Res. </w:t>
      </w:r>
      <w:r w:rsidRPr="00FC04BA">
        <w:rPr>
          <w:rFonts w:ascii="Calibri" w:hAnsi="Calibri" w:cs="Calibri"/>
          <w:b/>
          <w:bCs/>
          <w:sz w:val="22"/>
          <w:szCs w:val="22"/>
          <w:lang w:val="en-AU"/>
        </w:rPr>
        <w:t>2013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15 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(6), 1. </w:t>
      </w:r>
    </w:p>
    <w:p w14:paraId="3048147D" w14:textId="627432F9" w:rsidR="00FC04BA" w:rsidRPr="00FC04BA" w:rsidRDefault="00FC04BA" w:rsidP="00FC04BA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Calibri" w:hAnsi="Calibri" w:cs="Calibri"/>
          <w:sz w:val="22"/>
          <w:szCs w:val="22"/>
          <w:lang w:val="en-AU"/>
        </w:rPr>
      </w:pPr>
      <w:r w:rsidRPr="00FC04BA">
        <w:rPr>
          <w:rFonts w:ascii="Calibri" w:hAnsi="Calibri" w:cs="Calibri"/>
          <w:sz w:val="22"/>
          <w:szCs w:val="22"/>
          <w:lang w:val="en-AU"/>
        </w:rPr>
        <w:t xml:space="preserve">Tessier, M. D.; Dupont, D.; De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Nolf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, K.; De Roo, J.; Hens, Z.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Chem. Mater. </w:t>
      </w:r>
      <w:r w:rsidRPr="00FC04BA">
        <w:rPr>
          <w:rFonts w:ascii="Calibri" w:hAnsi="Calibri" w:cs="Calibri"/>
          <w:b/>
          <w:bCs/>
          <w:sz w:val="22"/>
          <w:szCs w:val="22"/>
          <w:lang w:val="en-AU"/>
        </w:rPr>
        <w:t>2015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27 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(13), 4893. </w:t>
      </w:r>
    </w:p>
    <w:p w14:paraId="5846D67A" w14:textId="25116986" w:rsidR="00FC04BA" w:rsidRPr="00FC04BA" w:rsidRDefault="00FC04BA" w:rsidP="00FC04BA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Calibri" w:hAnsi="Calibri" w:cs="Calibri"/>
          <w:sz w:val="22"/>
          <w:szCs w:val="22"/>
          <w:lang w:val="en-AU"/>
        </w:rPr>
      </w:pPr>
      <w:r w:rsidRPr="00FC04BA">
        <w:rPr>
          <w:rFonts w:ascii="Calibri" w:hAnsi="Calibri" w:cs="Calibri"/>
          <w:sz w:val="22"/>
          <w:szCs w:val="22"/>
          <w:lang w:val="en-AU"/>
        </w:rPr>
        <w:t xml:space="preserve">Tessier, M. D.; De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Nolf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, K.; Dupont, D.;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Sinnaeve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, D.; De Roo, J.; Hens, Z.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J. Am. Chem. Soc. </w:t>
      </w:r>
      <w:r w:rsidRPr="00FC04BA">
        <w:rPr>
          <w:rFonts w:ascii="Calibri" w:hAnsi="Calibri" w:cs="Calibri"/>
          <w:b/>
          <w:bCs/>
          <w:sz w:val="22"/>
          <w:szCs w:val="22"/>
          <w:lang w:val="en-AU"/>
        </w:rPr>
        <w:t>2016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138 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(18), 5923. </w:t>
      </w:r>
    </w:p>
    <w:p w14:paraId="5A6C122B" w14:textId="11A4DC38" w:rsidR="00FC04BA" w:rsidRPr="00FC04BA" w:rsidRDefault="00FC04BA" w:rsidP="00FC04BA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Buffard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, A.; Dreyfuss, S.; Nadal, B.;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Heuclin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, H.; Xu, X.;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Patriarche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, G.;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Mézailles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, N.; </w:t>
      </w:r>
      <w:proofErr w:type="spellStart"/>
      <w:r w:rsidRPr="00FC04BA">
        <w:rPr>
          <w:rFonts w:ascii="Calibri" w:hAnsi="Calibri" w:cs="Calibri"/>
          <w:sz w:val="22"/>
          <w:szCs w:val="22"/>
          <w:lang w:val="en-AU"/>
        </w:rPr>
        <w:t>Dubertret</w:t>
      </w:r>
      <w:proofErr w:type="spellEnd"/>
      <w:r w:rsidRPr="00FC04BA">
        <w:rPr>
          <w:rFonts w:ascii="Calibri" w:hAnsi="Calibri" w:cs="Calibri"/>
          <w:sz w:val="22"/>
          <w:szCs w:val="22"/>
          <w:lang w:val="en-AU"/>
        </w:rPr>
        <w:t xml:space="preserve">, B.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Chem. Mater. </w:t>
      </w:r>
      <w:r w:rsidRPr="00FC04BA">
        <w:rPr>
          <w:rFonts w:ascii="Calibri" w:hAnsi="Calibri" w:cs="Calibri"/>
          <w:b/>
          <w:bCs/>
          <w:sz w:val="22"/>
          <w:szCs w:val="22"/>
          <w:lang w:val="en-AU"/>
        </w:rPr>
        <w:t>2016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, </w:t>
      </w:r>
      <w:r w:rsidRPr="00FC04BA">
        <w:rPr>
          <w:rFonts w:ascii="Calibri" w:hAnsi="Calibri" w:cs="Calibri"/>
          <w:i/>
          <w:iCs/>
          <w:sz w:val="22"/>
          <w:szCs w:val="22"/>
          <w:lang w:val="en-AU"/>
        </w:rPr>
        <w:t xml:space="preserve">28 </w:t>
      </w:r>
      <w:r w:rsidRPr="00FC04BA">
        <w:rPr>
          <w:rFonts w:ascii="Calibri" w:hAnsi="Calibri" w:cs="Calibri"/>
          <w:sz w:val="22"/>
          <w:szCs w:val="22"/>
          <w:lang w:val="en-AU"/>
        </w:rPr>
        <w:t xml:space="preserve">(16), 5925. </w:t>
      </w:r>
    </w:p>
    <w:p w14:paraId="19A0A76F" w14:textId="77777777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3E65"/>
    <w:multiLevelType w:val="multilevel"/>
    <w:tmpl w:val="EF08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1A21AD"/>
    <w:rsid w:val="002078AD"/>
    <w:rsid w:val="002226BB"/>
    <w:rsid w:val="00225236"/>
    <w:rsid w:val="002272B0"/>
    <w:rsid w:val="00300B92"/>
    <w:rsid w:val="0030585E"/>
    <w:rsid w:val="00387491"/>
    <w:rsid w:val="00483B05"/>
    <w:rsid w:val="004E28B9"/>
    <w:rsid w:val="004E5450"/>
    <w:rsid w:val="0055229D"/>
    <w:rsid w:val="00562D19"/>
    <w:rsid w:val="0059609A"/>
    <w:rsid w:val="00597659"/>
    <w:rsid w:val="005C399A"/>
    <w:rsid w:val="005E48A2"/>
    <w:rsid w:val="005F19FF"/>
    <w:rsid w:val="00641190"/>
    <w:rsid w:val="006B3866"/>
    <w:rsid w:val="00711813"/>
    <w:rsid w:val="00724E3C"/>
    <w:rsid w:val="00743C46"/>
    <w:rsid w:val="008909C9"/>
    <w:rsid w:val="00947B77"/>
    <w:rsid w:val="009E2228"/>
    <w:rsid w:val="009F06D6"/>
    <w:rsid w:val="00A266B4"/>
    <w:rsid w:val="00AF324C"/>
    <w:rsid w:val="00BC5FCC"/>
    <w:rsid w:val="00C60A71"/>
    <w:rsid w:val="00CC165A"/>
    <w:rsid w:val="00D55F3B"/>
    <w:rsid w:val="00DA2731"/>
    <w:rsid w:val="00DC0ABB"/>
    <w:rsid w:val="00DF1C8E"/>
    <w:rsid w:val="00EF12F3"/>
    <w:rsid w:val="00F26BBE"/>
    <w:rsid w:val="00F97620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2443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Thomas Nann</cp:lastModifiedBy>
  <cp:revision>3</cp:revision>
  <cp:lastPrinted>2013-06-13T05:15:00Z</cp:lastPrinted>
  <dcterms:created xsi:type="dcterms:W3CDTF">2019-08-01T23:22:00Z</dcterms:created>
  <dcterms:modified xsi:type="dcterms:W3CDTF">2019-08-01T23:36:00Z</dcterms:modified>
</cp:coreProperties>
</file>