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CCA93" w14:textId="5C454DA6" w:rsidR="00711813" w:rsidRPr="00DF1C8E" w:rsidRDefault="00EB4410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Models for </w:t>
      </w:r>
      <w:r w:rsidR="00EB6E89">
        <w:rPr>
          <w:rFonts w:ascii="Calibri" w:hAnsi="Calibri" w:cs="Calibri"/>
          <w:b/>
          <w:sz w:val="28"/>
          <w:szCs w:val="28"/>
          <w:lang w:val="en-AU"/>
        </w:rPr>
        <w:t>electron transport</w:t>
      </w:r>
      <w:r w:rsidR="009F2927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C976AF">
        <w:rPr>
          <w:rFonts w:ascii="Calibri" w:hAnsi="Calibri" w:cs="Calibri"/>
          <w:b/>
          <w:sz w:val="28"/>
          <w:szCs w:val="28"/>
          <w:lang w:val="en-AU"/>
        </w:rPr>
        <w:t>in the</w:t>
      </w:r>
      <w:r w:rsidR="0064085A">
        <w:rPr>
          <w:rFonts w:ascii="Calibri" w:hAnsi="Calibri" w:cs="Calibri"/>
          <w:b/>
          <w:sz w:val="28"/>
          <w:szCs w:val="28"/>
          <w:lang w:val="en-AU"/>
        </w:rPr>
        <w:t xml:space="preserve"> two-dimensional</w:t>
      </w:r>
      <w:r w:rsidR="00C976AF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8B53DE">
        <w:rPr>
          <w:rFonts w:ascii="Calibri" w:hAnsi="Calibri" w:cs="Calibri"/>
          <w:b/>
          <w:sz w:val="28"/>
          <w:szCs w:val="28"/>
          <w:lang w:val="en-AU"/>
        </w:rPr>
        <w:t>allotropes</w:t>
      </w:r>
      <w:r w:rsidR="00C976AF">
        <w:rPr>
          <w:rFonts w:ascii="Calibri" w:hAnsi="Calibri" w:cs="Calibri"/>
          <w:b/>
          <w:sz w:val="28"/>
          <w:szCs w:val="28"/>
          <w:lang w:val="en-AU"/>
        </w:rPr>
        <w:t xml:space="preserve"> of bismuth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45FDF310" w14:textId="77777777" w:rsidR="00F43950" w:rsidRDefault="00D86276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Jackson S. </w:t>
      </w:r>
      <w:proofErr w:type="spellStart"/>
      <w:r>
        <w:rPr>
          <w:rFonts w:ascii="Calibri" w:hAnsi="Calibri" w:cs="Calibri"/>
          <w:i/>
          <w:lang w:val="en-AU"/>
        </w:rPr>
        <w:t>Smith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proofErr w:type="spellStart"/>
      <w:r>
        <w:rPr>
          <w:rFonts w:ascii="Calibri" w:hAnsi="Calibri" w:cs="Calibri"/>
          <w:i/>
          <w:lang w:val="en-AU"/>
        </w:rPr>
        <w:t>Qile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L</w:t>
      </w:r>
      <w:r w:rsidR="000837AA">
        <w:rPr>
          <w:rFonts w:ascii="Calibri" w:hAnsi="Calibri" w:cs="Calibri"/>
          <w:i/>
          <w:lang w:val="en-AU"/>
        </w:rPr>
        <w:t>i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C02290">
        <w:rPr>
          <w:rFonts w:ascii="Calibri" w:hAnsi="Calibri" w:cs="Calibri"/>
          <w:i/>
          <w:lang w:val="en-AU"/>
        </w:rPr>
        <w:t xml:space="preserve">, </w:t>
      </w:r>
      <w:proofErr w:type="spellStart"/>
      <w:r w:rsidR="00EC4EA3">
        <w:rPr>
          <w:rFonts w:ascii="Calibri" w:hAnsi="Calibri" w:cs="Calibri"/>
          <w:i/>
          <w:lang w:val="en-AU"/>
        </w:rPr>
        <w:t>Mykhailo</w:t>
      </w:r>
      <w:proofErr w:type="spellEnd"/>
      <w:r w:rsidR="00EC4EA3">
        <w:rPr>
          <w:rFonts w:ascii="Calibri" w:hAnsi="Calibri" w:cs="Calibri"/>
          <w:i/>
          <w:lang w:val="en-AU"/>
        </w:rPr>
        <w:t xml:space="preserve"> V. </w:t>
      </w:r>
      <w:proofErr w:type="spellStart"/>
      <w:r w:rsidR="00EC4EA3">
        <w:rPr>
          <w:rFonts w:ascii="Calibri" w:hAnsi="Calibri" w:cs="Calibri"/>
          <w:i/>
          <w:lang w:val="en-AU"/>
        </w:rPr>
        <w:t>Klymenko</w:t>
      </w:r>
      <w:r w:rsidR="00C02290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C02290" w:rsidRPr="005F19FF">
        <w:rPr>
          <w:rFonts w:ascii="Calibri" w:hAnsi="Calibri" w:cs="Calibri"/>
          <w:i/>
          <w:lang w:val="en-AU"/>
        </w:rPr>
        <w:t xml:space="preserve">, </w:t>
      </w:r>
      <w:proofErr w:type="spellStart"/>
      <w:r w:rsidR="00EC4EA3">
        <w:rPr>
          <w:rFonts w:ascii="Calibri" w:hAnsi="Calibri" w:cs="Calibri"/>
          <w:i/>
          <w:lang w:val="en-AU"/>
        </w:rPr>
        <w:t>Yuefeng</w:t>
      </w:r>
      <w:proofErr w:type="spellEnd"/>
      <w:r w:rsidR="00EC4EA3">
        <w:rPr>
          <w:rFonts w:ascii="Calibri" w:hAnsi="Calibri" w:cs="Calibri"/>
          <w:i/>
          <w:lang w:val="en-AU"/>
        </w:rPr>
        <w:t xml:space="preserve"> </w:t>
      </w:r>
      <w:proofErr w:type="spellStart"/>
      <w:proofErr w:type="gramStart"/>
      <w:r w:rsidR="00EC4EA3">
        <w:rPr>
          <w:rFonts w:ascii="Calibri" w:hAnsi="Calibri" w:cs="Calibri"/>
          <w:i/>
          <w:lang w:val="en-AU"/>
        </w:rPr>
        <w:t>Yin</w:t>
      </w:r>
      <w:r w:rsidR="00C02290" w:rsidRPr="005F19FF">
        <w:rPr>
          <w:rFonts w:ascii="Calibri" w:hAnsi="Calibri" w:cs="Calibri"/>
          <w:i/>
          <w:vertAlign w:val="superscript"/>
          <w:lang w:val="en-AU"/>
        </w:rPr>
        <w:t>B</w:t>
      </w:r>
      <w:r w:rsidR="00D2685D">
        <w:rPr>
          <w:rFonts w:ascii="Calibri" w:hAnsi="Calibri" w:cs="Calibri"/>
          <w:i/>
          <w:vertAlign w:val="superscript"/>
          <w:lang w:val="en-AU"/>
        </w:rPr>
        <w:t>,C</w:t>
      </w:r>
      <w:proofErr w:type="spellEnd"/>
      <w:proofErr w:type="gramEnd"/>
      <w:r w:rsidR="000E02E0">
        <w:rPr>
          <w:rFonts w:ascii="Calibri" w:hAnsi="Calibri" w:cs="Calibri"/>
          <w:i/>
          <w:lang w:val="en-AU"/>
        </w:rPr>
        <w:t xml:space="preserve">, Martin J. </w:t>
      </w:r>
      <w:proofErr w:type="spellStart"/>
      <w:r w:rsidR="000E02E0">
        <w:rPr>
          <w:rFonts w:ascii="Calibri" w:hAnsi="Calibri" w:cs="Calibri"/>
          <w:i/>
          <w:lang w:val="en-AU"/>
        </w:rPr>
        <w:t>Cyster</w:t>
      </w:r>
      <w:r w:rsidR="00EC4EA3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F43950">
        <w:rPr>
          <w:rFonts w:ascii="Calibri" w:hAnsi="Calibri" w:cs="Calibri"/>
          <w:i/>
          <w:lang w:val="en-AU"/>
        </w:rPr>
        <w:t>,</w:t>
      </w:r>
    </w:p>
    <w:p w14:paraId="22DB1634" w14:textId="6D751F0E" w:rsidR="00DF1C8E" w:rsidRPr="005F19FF" w:rsidRDefault="000E02E0" w:rsidP="00F26BBE">
      <w:pPr>
        <w:jc w:val="center"/>
        <w:rPr>
          <w:rFonts w:ascii="Calibri" w:hAnsi="Calibri" w:cs="Calibri"/>
          <w:i/>
          <w:lang w:val="en-AU"/>
        </w:rPr>
      </w:pPr>
      <w:proofErr w:type="spellStart"/>
      <w:r>
        <w:rPr>
          <w:rFonts w:ascii="Calibri" w:hAnsi="Calibri" w:cs="Calibri"/>
          <w:i/>
          <w:lang w:val="en-AU"/>
        </w:rPr>
        <w:t>Chutian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Wang</w:t>
      </w:r>
      <w:r w:rsidR="00EC4EA3"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EC4EA3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Nikhil V. </w:t>
      </w:r>
      <w:proofErr w:type="spellStart"/>
      <w:r>
        <w:rPr>
          <w:rFonts w:ascii="Calibri" w:hAnsi="Calibri" w:cs="Calibri"/>
          <w:i/>
          <w:lang w:val="en-AU"/>
        </w:rPr>
        <w:t>Medhekar</w:t>
      </w:r>
      <w:r w:rsidR="0027781B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EC4EA3" w:rsidRPr="005F19FF">
        <w:rPr>
          <w:rFonts w:ascii="Calibri" w:hAnsi="Calibri" w:cs="Calibri"/>
          <w:i/>
          <w:lang w:val="en-AU"/>
        </w:rPr>
        <w:t>,</w:t>
      </w:r>
      <w:r>
        <w:rPr>
          <w:rFonts w:ascii="Calibri" w:hAnsi="Calibri" w:cs="Calibri"/>
          <w:i/>
          <w:lang w:val="en-AU"/>
        </w:rPr>
        <w:t xml:space="preserve"> and</w:t>
      </w:r>
      <w:r w:rsidR="00EC4EA3" w:rsidRPr="005F19FF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 xml:space="preserve">Jared H. </w:t>
      </w:r>
      <w:proofErr w:type="spellStart"/>
      <w:r>
        <w:rPr>
          <w:rFonts w:ascii="Calibri" w:hAnsi="Calibri" w:cs="Calibri"/>
          <w:i/>
          <w:lang w:val="en-AU"/>
        </w:rPr>
        <w:t>Cole</w:t>
      </w:r>
      <w:r w:rsidR="0027781B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9EF8C2D" w14:textId="0F3AEB17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D944DF">
        <w:rPr>
          <w:rFonts w:ascii="Calibri" w:hAnsi="Calibri" w:cs="Calibri"/>
          <w:sz w:val="22"/>
          <w:szCs w:val="22"/>
          <w:lang w:val="en-AU"/>
        </w:rPr>
        <w:t>Chemical</w:t>
      </w:r>
      <w:proofErr w:type="spellEnd"/>
      <w:r w:rsidR="00D944DF">
        <w:rPr>
          <w:rFonts w:ascii="Calibri" w:hAnsi="Calibri" w:cs="Calibri"/>
          <w:sz w:val="22"/>
          <w:szCs w:val="22"/>
          <w:lang w:val="en-AU"/>
        </w:rPr>
        <w:t xml:space="preserve"> and Quantum Physics, School of Science, RMIT University, Melbourne, VIC, 3001, Australia</w:t>
      </w:r>
    </w:p>
    <w:p w14:paraId="2AC795CF" w14:textId="6CD86D93" w:rsidR="00D86276" w:rsidRDefault="00D944DF" w:rsidP="00D86276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of Materials Science and En</w:t>
      </w:r>
      <w:r w:rsidR="004F666D">
        <w:rPr>
          <w:rFonts w:ascii="Calibri" w:hAnsi="Calibri" w:cs="Calibri"/>
          <w:sz w:val="22"/>
          <w:szCs w:val="22"/>
          <w:lang w:val="en-AU"/>
        </w:rPr>
        <w:t>gineering, Monash University, Clayton, VIC, 3168, Australia</w:t>
      </w:r>
    </w:p>
    <w:p w14:paraId="1F40A9DD" w14:textId="7214EAC3" w:rsidR="00D944DF" w:rsidRPr="006B3866" w:rsidRDefault="00D944DF" w:rsidP="00D944DF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4F666D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4F666D">
        <w:rPr>
          <w:rFonts w:ascii="Calibri" w:hAnsi="Calibri" w:cs="Calibri"/>
          <w:sz w:val="22"/>
          <w:szCs w:val="22"/>
          <w:lang w:val="en-AU"/>
        </w:rPr>
        <w:t xml:space="preserve"> of Physi</w:t>
      </w:r>
      <w:r w:rsidR="002B67DD">
        <w:rPr>
          <w:rFonts w:ascii="Calibri" w:hAnsi="Calibri" w:cs="Calibri"/>
          <w:sz w:val="22"/>
          <w:szCs w:val="22"/>
          <w:lang w:val="en-AU"/>
        </w:rPr>
        <w:t>cs and Astronomy, Monash Univer</w:t>
      </w:r>
      <w:r w:rsidR="004F666D">
        <w:rPr>
          <w:rFonts w:ascii="Calibri" w:hAnsi="Calibri" w:cs="Calibri"/>
          <w:sz w:val="22"/>
          <w:szCs w:val="22"/>
          <w:lang w:val="en-AU"/>
        </w:rPr>
        <w:t>s</w:t>
      </w:r>
      <w:r w:rsidR="002B67DD">
        <w:rPr>
          <w:rFonts w:ascii="Calibri" w:hAnsi="Calibri" w:cs="Calibri"/>
          <w:sz w:val="22"/>
          <w:szCs w:val="22"/>
          <w:lang w:val="en-AU"/>
        </w:rPr>
        <w:t>i</w:t>
      </w:r>
      <w:r w:rsidR="004F666D">
        <w:rPr>
          <w:rFonts w:ascii="Calibri" w:hAnsi="Calibri" w:cs="Calibri"/>
          <w:sz w:val="22"/>
          <w:szCs w:val="22"/>
          <w:lang w:val="en-AU"/>
        </w:rPr>
        <w:t>ty, Clayton, VIC, 3168, Australia</w:t>
      </w:r>
    </w:p>
    <w:p w14:paraId="05E17889" w14:textId="16E135D3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26802F8C" w:rsidR="00711813" w:rsidRPr="006B3786" w:rsidRDefault="006B3786" w:rsidP="00711813">
      <w:pPr>
        <w:jc w:val="both"/>
        <w:rPr>
          <w:rFonts w:ascii="Calibri" w:hAnsi="Calibri" w:cs="Calibri"/>
          <w:sz w:val="22"/>
          <w:szCs w:val="22"/>
        </w:rPr>
      </w:pPr>
      <w:r w:rsidRPr="006B3786">
        <w:rPr>
          <w:rFonts w:ascii="Calibri" w:hAnsi="Calibri" w:cs="Calibri"/>
          <w:sz w:val="22"/>
          <w:szCs w:val="22"/>
        </w:rPr>
        <w:t>In</w:t>
      </w:r>
      <w:r w:rsidR="007E0088">
        <w:rPr>
          <w:rFonts w:ascii="Calibri" w:hAnsi="Calibri" w:cs="Calibri"/>
          <w:sz w:val="22"/>
          <w:szCs w:val="22"/>
        </w:rPr>
        <w:t xml:space="preserve"> two-dimensional</w:t>
      </w:r>
      <w:r w:rsidR="00B67C97">
        <w:rPr>
          <w:rFonts w:ascii="Calibri" w:hAnsi="Calibri" w:cs="Calibri"/>
          <w:sz w:val="22"/>
          <w:szCs w:val="22"/>
        </w:rPr>
        <w:t xml:space="preserve"> (2D)</w:t>
      </w:r>
      <w:r w:rsidRPr="006B3786">
        <w:rPr>
          <w:rFonts w:ascii="Calibri" w:hAnsi="Calibri" w:cs="Calibri"/>
          <w:sz w:val="22"/>
          <w:szCs w:val="22"/>
        </w:rPr>
        <w:t xml:space="preserve"> materials </w:t>
      </w:r>
      <w:r w:rsidR="007E0088">
        <w:rPr>
          <w:rFonts w:ascii="Calibri" w:hAnsi="Calibri" w:cs="Calibri"/>
          <w:sz w:val="22"/>
          <w:szCs w:val="22"/>
        </w:rPr>
        <w:t xml:space="preserve">with </w:t>
      </w:r>
      <w:r w:rsidRPr="006B3786">
        <w:rPr>
          <w:rFonts w:ascii="Calibri" w:hAnsi="Calibri" w:cs="Calibri"/>
          <w:sz w:val="22"/>
          <w:szCs w:val="22"/>
        </w:rPr>
        <w:t>honeycomb lattice</w:t>
      </w:r>
      <w:r w:rsidR="007E0088">
        <w:rPr>
          <w:rFonts w:ascii="Calibri" w:hAnsi="Calibri" w:cs="Calibri"/>
          <w:sz w:val="22"/>
          <w:szCs w:val="22"/>
        </w:rPr>
        <w:t>s,</w:t>
      </w:r>
      <w:r w:rsidR="008549E8">
        <w:rPr>
          <w:rFonts w:ascii="Calibri" w:hAnsi="Calibri" w:cs="Calibri"/>
          <w:sz w:val="22"/>
          <w:szCs w:val="22"/>
        </w:rPr>
        <w:t xml:space="preserve"> such as graphene,</w:t>
      </w:r>
      <w:r w:rsidR="007E0088">
        <w:rPr>
          <w:rFonts w:ascii="Calibri" w:hAnsi="Calibri" w:cs="Calibri"/>
          <w:sz w:val="22"/>
          <w:szCs w:val="22"/>
        </w:rPr>
        <w:t xml:space="preserve"> spin-orbit</w:t>
      </w:r>
      <w:r w:rsidR="00AA44E3">
        <w:rPr>
          <w:rFonts w:ascii="Calibri" w:hAnsi="Calibri" w:cs="Calibri"/>
          <w:sz w:val="22"/>
          <w:szCs w:val="22"/>
        </w:rPr>
        <w:t xml:space="preserve"> coupling is pre</w:t>
      </w:r>
      <w:r w:rsidRPr="006B3786">
        <w:rPr>
          <w:rFonts w:ascii="Calibri" w:hAnsi="Calibri" w:cs="Calibri"/>
          <w:sz w:val="22"/>
          <w:szCs w:val="22"/>
        </w:rPr>
        <w:t xml:space="preserve">dicted to </w:t>
      </w:r>
      <w:r w:rsidR="00DF7B43">
        <w:rPr>
          <w:rFonts w:ascii="Calibri" w:hAnsi="Calibri" w:cs="Calibri"/>
          <w:sz w:val="22"/>
          <w:szCs w:val="22"/>
        </w:rPr>
        <w:t>cause the existence of edge states</w:t>
      </w:r>
      <w:r w:rsidR="008549E8">
        <w:rPr>
          <w:rFonts w:ascii="Calibri" w:hAnsi="Calibri" w:cs="Calibri"/>
          <w:sz w:val="22"/>
          <w:szCs w:val="22"/>
        </w:rPr>
        <w:t xml:space="preserve"> [1]</w:t>
      </w:r>
      <w:r w:rsidR="00B67C97">
        <w:rPr>
          <w:rFonts w:ascii="Calibri" w:hAnsi="Calibri" w:cs="Calibri"/>
          <w:sz w:val="22"/>
          <w:szCs w:val="22"/>
        </w:rPr>
        <w:t>. The 2D</w:t>
      </w:r>
      <w:r w:rsidRPr="006B3786">
        <w:rPr>
          <w:rFonts w:ascii="Calibri" w:hAnsi="Calibri" w:cs="Calibri"/>
          <w:sz w:val="22"/>
          <w:szCs w:val="22"/>
        </w:rPr>
        <w:t xml:space="preserve"> allotropes of bismuth a</w:t>
      </w:r>
      <w:r w:rsidR="008E39BD">
        <w:rPr>
          <w:rFonts w:ascii="Calibri" w:hAnsi="Calibri" w:cs="Calibri"/>
          <w:sz w:val="22"/>
          <w:szCs w:val="22"/>
        </w:rPr>
        <w:t>re no exception to this predic</w:t>
      </w:r>
      <w:r w:rsidRPr="006B3786">
        <w:rPr>
          <w:rFonts w:ascii="Calibri" w:hAnsi="Calibri" w:cs="Calibri"/>
          <w:sz w:val="22"/>
          <w:szCs w:val="22"/>
        </w:rPr>
        <w:t>tion. Although bulk bismuth has been shown to be a topologically trivial semi-metal</w:t>
      </w:r>
      <w:r w:rsidR="008E39BD">
        <w:rPr>
          <w:rFonts w:ascii="Calibri" w:hAnsi="Calibri" w:cs="Calibri"/>
          <w:sz w:val="22"/>
          <w:szCs w:val="22"/>
        </w:rPr>
        <w:t xml:space="preserve"> [2]</w:t>
      </w:r>
      <w:r w:rsidRPr="006B3786">
        <w:rPr>
          <w:rFonts w:ascii="Calibri" w:hAnsi="Calibri" w:cs="Calibri"/>
          <w:sz w:val="22"/>
          <w:szCs w:val="22"/>
        </w:rPr>
        <w:t xml:space="preserve">, </w:t>
      </w:r>
      <w:r w:rsidR="008E39BD">
        <w:rPr>
          <w:rFonts w:ascii="Calibri" w:hAnsi="Calibri" w:cs="Calibri"/>
          <w:sz w:val="22"/>
          <w:szCs w:val="22"/>
        </w:rPr>
        <w:t>this material’s 2D allotropes</w:t>
      </w:r>
      <w:r w:rsidRPr="006B3786">
        <w:rPr>
          <w:rFonts w:ascii="Calibri" w:hAnsi="Calibri" w:cs="Calibri"/>
          <w:sz w:val="22"/>
          <w:szCs w:val="22"/>
        </w:rPr>
        <w:t xml:space="preserve"> show propert</w:t>
      </w:r>
      <w:r w:rsidR="008E39BD">
        <w:rPr>
          <w:rFonts w:ascii="Calibri" w:hAnsi="Calibri" w:cs="Calibri"/>
          <w:sz w:val="22"/>
          <w:szCs w:val="22"/>
        </w:rPr>
        <w:t>ies that are topologically non-</w:t>
      </w:r>
      <w:r w:rsidRPr="006B3786">
        <w:rPr>
          <w:rFonts w:ascii="Calibri" w:hAnsi="Calibri" w:cs="Calibri"/>
          <w:sz w:val="22"/>
          <w:szCs w:val="22"/>
        </w:rPr>
        <w:t>trivial</w:t>
      </w:r>
      <w:r w:rsidR="008E39BD">
        <w:rPr>
          <w:rFonts w:ascii="Calibri" w:hAnsi="Calibri" w:cs="Calibri"/>
          <w:sz w:val="22"/>
          <w:szCs w:val="22"/>
        </w:rPr>
        <w:t xml:space="preserve"> [3, 4]</w:t>
      </w:r>
      <w:r>
        <w:rPr>
          <w:rFonts w:ascii="Calibri" w:hAnsi="Calibri" w:cs="Calibri"/>
          <w:sz w:val="22"/>
          <w:szCs w:val="22"/>
        </w:rPr>
        <w:t>.</w:t>
      </w:r>
    </w:p>
    <w:p w14:paraId="02643439" w14:textId="7C776F2C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55CDA02" w14:textId="351879FA" w:rsidR="00CF50DB" w:rsidRPr="00CF50DB" w:rsidRDefault="005A22F6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More than t</w:t>
      </w:r>
      <w:r w:rsidR="00C7246C" w:rsidRPr="00C7246C">
        <w:rPr>
          <w:rFonts w:ascii="Calibri" w:hAnsi="Calibri" w:cs="Calibri"/>
          <w:sz w:val="22"/>
          <w:szCs w:val="22"/>
        </w:rPr>
        <w:t xml:space="preserve">en years </w:t>
      </w:r>
      <w:r>
        <w:rPr>
          <w:rFonts w:ascii="Calibri" w:hAnsi="Calibri" w:cs="Calibri"/>
          <w:sz w:val="22"/>
          <w:szCs w:val="22"/>
        </w:rPr>
        <w:t>ago</w:t>
      </w:r>
      <w:r w:rsidR="00C7246C" w:rsidRPr="00C7246C">
        <w:rPr>
          <w:rFonts w:ascii="Calibri" w:hAnsi="Calibri" w:cs="Calibri"/>
          <w:sz w:val="22"/>
          <w:szCs w:val="22"/>
        </w:rPr>
        <w:t>, a tight-binding (TB) model for a bismuth</w:t>
      </w:r>
      <w:r w:rsidR="00FD5D28">
        <w:rPr>
          <w:rFonts w:ascii="Calibri" w:hAnsi="Calibri" w:cs="Calibri"/>
          <w:sz w:val="22"/>
          <w:szCs w:val="22"/>
        </w:rPr>
        <w:t xml:space="preserve"> </w:t>
      </w:r>
      <w:r w:rsidR="00FD5D28" w:rsidRPr="00C7246C">
        <w:rPr>
          <w:rFonts w:ascii="Calibri" w:hAnsi="Calibri" w:cs="Calibri"/>
          <w:sz w:val="22"/>
          <w:szCs w:val="22"/>
        </w:rPr>
        <w:t>(111</w:t>
      </w:r>
      <w:proofErr w:type="gramStart"/>
      <w:r w:rsidR="00FD5D28" w:rsidRPr="00C7246C">
        <w:rPr>
          <w:rFonts w:ascii="Calibri" w:hAnsi="Calibri" w:cs="Calibri"/>
          <w:sz w:val="22"/>
          <w:szCs w:val="22"/>
        </w:rPr>
        <w:t xml:space="preserve">) </w:t>
      </w:r>
      <w:r w:rsidR="00C7246C" w:rsidRPr="00C7246C">
        <w:rPr>
          <w:rFonts w:ascii="Calibri" w:hAnsi="Calibri" w:cs="Calibri"/>
          <w:sz w:val="22"/>
          <w:szCs w:val="22"/>
        </w:rPr>
        <w:t xml:space="preserve"> bilayer</w:t>
      </w:r>
      <w:proofErr w:type="gramEnd"/>
      <w:r w:rsidR="00C7246C" w:rsidRPr="00C7246C">
        <w:rPr>
          <w:rFonts w:ascii="Calibri" w:hAnsi="Calibri" w:cs="Calibri"/>
          <w:sz w:val="22"/>
          <w:szCs w:val="22"/>
        </w:rPr>
        <w:t xml:space="preserve"> was proposed</w:t>
      </w:r>
      <w:r w:rsidR="00FD5D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by </w:t>
      </w:r>
      <w:r w:rsidR="00C7246C" w:rsidRPr="00C7246C">
        <w:rPr>
          <w:rFonts w:ascii="Calibri" w:hAnsi="Calibri" w:cs="Calibri"/>
          <w:sz w:val="22"/>
          <w:szCs w:val="22"/>
        </w:rPr>
        <w:t>Murakami</w:t>
      </w:r>
      <w:r>
        <w:rPr>
          <w:rFonts w:ascii="Calibri" w:hAnsi="Calibri" w:cs="Calibri"/>
          <w:sz w:val="22"/>
          <w:szCs w:val="22"/>
        </w:rPr>
        <w:t xml:space="preserve"> [3]</w:t>
      </w:r>
      <w:r w:rsidR="00C7246C" w:rsidRPr="00C7246C">
        <w:rPr>
          <w:rFonts w:ascii="Calibri" w:hAnsi="Calibri" w:cs="Calibri"/>
          <w:sz w:val="22"/>
          <w:szCs w:val="22"/>
        </w:rPr>
        <w:t xml:space="preserve"> that is based on a</w:t>
      </w:r>
      <w:r>
        <w:rPr>
          <w:rFonts w:ascii="Calibri" w:hAnsi="Calibri" w:cs="Calibri"/>
          <w:sz w:val="22"/>
          <w:szCs w:val="22"/>
        </w:rPr>
        <w:t>n earlier</w:t>
      </w:r>
      <w:r w:rsidR="00C7246C" w:rsidRPr="00C7246C">
        <w:rPr>
          <w:rFonts w:ascii="Calibri" w:hAnsi="Calibri" w:cs="Calibri"/>
          <w:sz w:val="22"/>
          <w:szCs w:val="22"/>
        </w:rPr>
        <w:t xml:space="preserve"> semi-empirical TB model of bulk bismuth</w:t>
      </w:r>
      <w:r>
        <w:rPr>
          <w:rFonts w:ascii="Calibri" w:hAnsi="Calibri" w:cs="Calibri"/>
          <w:sz w:val="22"/>
          <w:szCs w:val="22"/>
        </w:rPr>
        <w:t xml:space="preserve"> [5]</w:t>
      </w:r>
      <w:r w:rsidR="00C7246C" w:rsidRPr="00C7246C">
        <w:rPr>
          <w:rFonts w:ascii="Calibri" w:hAnsi="Calibri" w:cs="Calibri"/>
          <w:sz w:val="22"/>
          <w:szCs w:val="22"/>
        </w:rPr>
        <w:t>. This</w:t>
      </w:r>
      <w:r w:rsidR="00FD5D28">
        <w:rPr>
          <w:rFonts w:ascii="Calibri" w:hAnsi="Calibri" w:cs="Calibri"/>
          <w:sz w:val="22"/>
          <w:szCs w:val="22"/>
        </w:rPr>
        <w:t xml:space="preserve"> semi-emp</w:t>
      </w:r>
      <w:r w:rsidR="008206D8">
        <w:rPr>
          <w:rFonts w:ascii="Calibri" w:hAnsi="Calibri" w:cs="Calibri"/>
          <w:sz w:val="22"/>
          <w:szCs w:val="22"/>
        </w:rPr>
        <w:t>i</w:t>
      </w:r>
      <w:r w:rsidR="00FD5D28">
        <w:rPr>
          <w:rFonts w:ascii="Calibri" w:hAnsi="Calibri" w:cs="Calibri"/>
          <w:sz w:val="22"/>
          <w:szCs w:val="22"/>
        </w:rPr>
        <w:t>rical</w:t>
      </w:r>
      <w:r w:rsidR="00C7246C" w:rsidRPr="00C7246C">
        <w:rPr>
          <w:rFonts w:ascii="Calibri" w:hAnsi="Calibri" w:cs="Calibri"/>
          <w:sz w:val="22"/>
          <w:szCs w:val="22"/>
        </w:rPr>
        <w:t xml:space="preserve"> TB model predicted the existence of edge states i</w:t>
      </w:r>
      <w:bookmarkStart w:id="0" w:name="_GoBack"/>
      <w:bookmarkEnd w:id="0"/>
      <w:r w:rsidR="00C7246C" w:rsidRPr="00C7246C">
        <w:rPr>
          <w:rFonts w:ascii="Calibri" w:hAnsi="Calibri" w:cs="Calibri"/>
          <w:sz w:val="22"/>
          <w:szCs w:val="22"/>
        </w:rPr>
        <w:t>n a nanoribbon o</w:t>
      </w:r>
      <w:r w:rsidR="00FD5D28">
        <w:rPr>
          <w:rFonts w:ascii="Calibri" w:hAnsi="Calibri" w:cs="Calibri"/>
          <w:sz w:val="22"/>
          <w:szCs w:val="22"/>
        </w:rPr>
        <w:t>f (111) bismuth bilayer</w:t>
      </w:r>
      <w:r w:rsidR="00C7246C" w:rsidRPr="00C7246C">
        <w:rPr>
          <w:rFonts w:ascii="Calibri" w:hAnsi="Calibri" w:cs="Calibri"/>
          <w:sz w:val="22"/>
          <w:szCs w:val="22"/>
        </w:rPr>
        <w:t xml:space="preserve"> and, more recently, </w:t>
      </w:r>
      <w:r w:rsidR="00E66D12">
        <w:rPr>
          <w:rFonts w:ascii="Calibri" w:hAnsi="Calibri" w:cs="Calibri"/>
          <w:sz w:val="22"/>
          <w:szCs w:val="22"/>
        </w:rPr>
        <w:t xml:space="preserve">it </w:t>
      </w:r>
      <w:r w:rsidR="00C7246C" w:rsidRPr="00C7246C">
        <w:rPr>
          <w:rFonts w:ascii="Calibri" w:hAnsi="Calibri" w:cs="Calibri"/>
          <w:sz w:val="22"/>
          <w:szCs w:val="22"/>
        </w:rPr>
        <w:t xml:space="preserve">has also been used to </w:t>
      </w:r>
      <w:r w:rsidR="00FD5D28">
        <w:rPr>
          <w:rFonts w:ascii="Calibri" w:hAnsi="Calibri" w:cs="Calibri"/>
          <w:sz w:val="22"/>
          <w:szCs w:val="22"/>
        </w:rPr>
        <w:t>infer</w:t>
      </w:r>
      <w:r w:rsidR="00C7246C" w:rsidRPr="00C7246C">
        <w:rPr>
          <w:rFonts w:ascii="Calibri" w:hAnsi="Calibri" w:cs="Calibri"/>
          <w:sz w:val="22"/>
          <w:szCs w:val="22"/>
        </w:rPr>
        <w:t xml:space="preserve"> the</w:t>
      </w:r>
      <w:r w:rsidR="00E66D12">
        <w:rPr>
          <w:rFonts w:ascii="Calibri" w:hAnsi="Calibri" w:cs="Calibri"/>
          <w:sz w:val="22"/>
          <w:szCs w:val="22"/>
        </w:rPr>
        <w:t xml:space="preserve"> transport characteristics</w:t>
      </w:r>
      <w:r w:rsidR="00FD5D28">
        <w:rPr>
          <w:rFonts w:ascii="Calibri" w:hAnsi="Calibri" w:cs="Calibri"/>
          <w:sz w:val="22"/>
          <w:szCs w:val="22"/>
        </w:rPr>
        <w:t xml:space="preserve"> of </w:t>
      </w:r>
      <w:r w:rsidR="0029590B">
        <w:rPr>
          <w:rFonts w:ascii="Calibri" w:hAnsi="Calibri" w:cs="Calibri"/>
          <w:sz w:val="22"/>
          <w:szCs w:val="22"/>
        </w:rPr>
        <w:t xml:space="preserve">a </w:t>
      </w:r>
      <w:r w:rsidR="00FD5D28">
        <w:rPr>
          <w:rFonts w:ascii="Calibri" w:hAnsi="Calibri" w:cs="Calibri"/>
          <w:sz w:val="22"/>
          <w:szCs w:val="22"/>
        </w:rPr>
        <w:t xml:space="preserve">bismuth (111) </w:t>
      </w:r>
      <w:r w:rsidR="00C7246C" w:rsidRPr="00C7246C">
        <w:rPr>
          <w:rFonts w:ascii="Calibri" w:hAnsi="Calibri" w:cs="Calibri"/>
          <w:sz w:val="22"/>
          <w:szCs w:val="22"/>
        </w:rPr>
        <w:t>nanoribbon</w:t>
      </w:r>
      <w:r w:rsidR="0029590B">
        <w:rPr>
          <w:rFonts w:ascii="Calibri" w:hAnsi="Calibri" w:cs="Calibri"/>
          <w:sz w:val="22"/>
          <w:szCs w:val="22"/>
        </w:rPr>
        <w:t xml:space="preserve"> [</w:t>
      </w:r>
      <w:r w:rsidR="00800F13">
        <w:rPr>
          <w:rFonts w:ascii="Calibri" w:hAnsi="Calibri" w:cs="Calibri"/>
          <w:sz w:val="22"/>
          <w:szCs w:val="22"/>
        </w:rPr>
        <w:t>4</w:t>
      </w:r>
      <w:r w:rsidR="0029590B">
        <w:rPr>
          <w:rFonts w:ascii="Calibri" w:hAnsi="Calibri" w:cs="Calibri"/>
          <w:sz w:val="22"/>
          <w:szCs w:val="22"/>
        </w:rPr>
        <w:t>]</w:t>
      </w:r>
      <w:r w:rsidR="00C7246C" w:rsidRPr="00C7246C">
        <w:rPr>
          <w:rFonts w:ascii="Calibri" w:hAnsi="Calibri" w:cs="Calibri"/>
          <w:sz w:val="22"/>
          <w:szCs w:val="22"/>
        </w:rPr>
        <w:t xml:space="preserve">. </w:t>
      </w:r>
      <w:r w:rsidR="008206D8">
        <w:rPr>
          <w:rFonts w:ascii="Calibri" w:hAnsi="Calibri" w:cs="Calibri"/>
          <w:sz w:val="22"/>
          <w:szCs w:val="22"/>
        </w:rPr>
        <w:t xml:space="preserve">For example, </w:t>
      </w:r>
      <w:r w:rsidR="00800F13">
        <w:rPr>
          <w:rFonts w:ascii="Calibri" w:hAnsi="Calibri" w:cs="Calibri"/>
          <w:sz w:val="22"/>
          <w:szCs w:val="22"/>
        </w:rPr>
        <w:t xml:space="preserve">Figure 1 shows the band structure of a bismuth (111) nanoribbon computed using </w:t>
      </w:r>
      <w:r w:rsidR="00825475">
        <w:rPr>
          <w:rFonts w:ascii="Calibri" w:hAnsi="Calibri" w:cs="Calibri"/>
          <w:sz w:val="22"/>
          <w:szCs w:val="22"/>
        </w:rPr>
        <w:t>this</w:t>
      </w:r>
      <w:r w:rsidR="00800F13">
        <w:rPr>
          <w:rFonts w:ascii="Calibri" w:hAnsi="Calibri" w:cs="Calibri"/>
          <w:sz w:val="22"/>
          <w:szCs w:val="22"/>
        </w:rPr>
        <w:t xml:space="preserve"> semi-empiric</w:t>
      </w:r>
      <w:r w:rsidR="00825475">
        <w:rPr>
          <w:rFonts w:ascii="Calibri" w:hAnsi="Calibri" w:cs="Calibri"/>
          <w:sz w:val="22"/>
          <w:szCs w:val="22"/>
        </w:rPr>
        <w:t>al TB model</w:t>
      </w:r>
      <w:r w:rsidR="00800F13">
        <w:rPr>
          <w:rFonts w:ascii="Calibri" w:hAnsi="Calibri" w:cs="Calibri"/>
          <w:sz w:val="22"/>
          <w:szCs w:val="22"/>
        </w:rPr>
        <w:t>.</w:t>
      </w:r>
      <w:r w:rsidR="008206D8">
        <w:rPr>
          <w:rFonts w:ascii="Calibri" w:hAnsi="Calibri" w:cs="Calibri"/>
          <w:sz w:val="22"/>
          <w:szCs w:val="22"/>
        </w:rPr>
        <w:t xml:space="preserve"> W</w:t>
      </w:r>
      <w:r w:rsidR="00CF50DB" w:rsidRPr="00C7246C">
        <w:rPr>
          <w:rFonts w:ascii="Calibri" w:hAnsi="Calibri" w:cs="Calibri"/>
          <w:sz w:val="22"/>
          <w:szCs w:val="22"/>
        </w:rPr>
        <w:t xml:space="preserve">hen using a </w:t>
      </w:r>
      <w:r w:rsidR="00DD2159">
        <w:rPr>
          <w:rFonts w:ascii="Calibri" w:hAnsi="Calibri" w:cs="Calibri"/>
          <w:sz w:val="22"/>
          <w:szCs w:val="22"/>
        </w:rPr>
        <w:t>such a model</w:t>
      </w:r>
      <w:r w:rsidR="008206D8">
        <w:rPr>
          <w:rFonts w:ascii="Calibri" w:hAnsi="Calibri" w:cs="Calibri"/>
          <w:sz w:val="22"/>
          <w:szCs w:val="22"/>
        </w:rPr>
        <w:t>, however,</w:t>
      </w:r>
      <w:r w:rsidR="00DD2159">
        <w:rPr>
          <w:rFonts w:ascii="Calibri" w:hAnsi="Calibri" w:cs="Calibri"/>
          <w:sz w:val="22"/>
          <w:szCs w:val="22"/>
        </w:rPr>
        <w:t xml:space="preserve"> </w:t>
      </w:r>
      <w:r w:rsidR="00CF50DB" w:rsidRPr="00C7246C">
        <w:rPr>
          <w:rFonts w:ascii="Calibri" w:hAnsi="Calibri" w:cs="Calibri"/>
          <w:sz w:val="22"/>
          <w:szCs w:val="22"/>
        </w:rPr>
        <w:t xml:space="preserve">the atomic </w:t>
      </w:r>
      <w:r w:rsidR="00CF50DB">
        <w:rPr>
          <w:rFonts w:ascii="Calibri" w:hAnsi="Calibri" w:cs="Calibri"/>
          <w:sz w:val="22"/>
          <w:szCs w:val="22"/>
        </w:rPr>
        <w:t>structure of the bismuth bilay</w:t>
      </w:r>
      <w:r w:rsidR="00DD2159">
        <w:rPr>
          <w:rFonts w:ascii="Calibri" w:hAnsi="Calibri" w:cs="Calibri"/>
          <w:sz w:val="22"/>
          <w:szCs w:val="22"/>
        </w:rPr>
        <w:t>ers</w:t>
      </w:r>
      <w:r w:rsidR="00CF50DB" w:rsidRPr="00C7246C">
        <w:rPr>
          <w:rFonts w:ascii="Calibri" w:hAnsi="Calibri" w:cs="Calibri"/>
          <w:sz w:val="22"/>
          <w:szCs w:val="22"/>
        </w:rPr>
        <w:t xml:space="preserve"> cannot be geometry relaxed </w:t>
      </w:r>
      <w:r w:rsidR="00CF50DB">
        <w:rPr>
          <w:rFonts w:ascii="Calibri" w:hAnsi="Calibri" w:cs="Calibri"/>
          <w:sz w:val="22"/>
          <w:szCs w:val="22"/>
        </w:rPr>
        <w:t>without further modifica</w:t>
      </w:r>
      <w:r w:rsidR="00CF50DB" w:rsidRPr="00C7246C">
        <w:rPr>
          <w:rFonts w:ascii="Calibri" w:hAnsi="Calibri" w:cs="Calibri"/>
          <w:sz w:val="22"/>
          <w:szCs w:val="22"/>
        </w:rPr>
        <w:t>tion to the model that could in tu</w:t>
      </w:r>
      <w:r w:rsidR="00CF50DB">
        <w:rPr>
          <w:rFonts w:ascii="Calibri" w:hAnsi="Calibri" w:cs="Calibri"/>
          <w:sz w:val="22"/>
          <w:szCs w:val="22"/>
        </w:rPr>
        <w:t xml:space="preserve">rn violate its original ansatz. </w:t>
      </w:r>
      <w:r w:rsidR="00E66D12">
        <w:rPr>
          <w:rFonts w:ascii="Calibri" w:hAnsi="Calibri" w:cs="Calibri"/>
          <w:sz w:val="22"/>
          <w:szCs w:val="22"/>
        </w:rPr>
        <w:t>For the same reason</w:t>
      </w:r>
      <w:r w:rsidR="00CF50DB" w:rsidRPr="00C7246C">
        <w:rPr>
          <w:rFonts w:ascii="Calibri" w:hAnsi="Calibri" w:cs="Calibri"/>
          <w:sz w:val="22"/>
          <w:szCs w:val="22"/>
        </w:rPr>
        <w:t xml:space="preserve">, </w:t>
      </w:r>
      <w:r w:rsidR="00E66D12">
        <w:rPr>
          <w:rFonts w:ascii="Calibri" w:hAnsi="Calibri" w:cs="Calibri"/>
          <w:sz w:val="22"/>
          <w:szCs w:val="22"/>
        </w:rPr>
        <w:t xml:space="preserve">the electronic structure of </w:t>
      </w:r>
      <w:proofErr w:type="spellStart"/>
      <w:r w:rsidR="00CF50DB" w:rsidRPr="00C7246C">
        <w:rPr>
          <w:rFonts w:ascii="Calibri" w:hAnsi="Calibri" w:cs="Calibri"/>
          <w:sz w:val="22"/>
          <w:szCs w:val="22"/>
        </w:rPr>
        <w:t>bis</w:t>
      </w:r>
      <w:r w:rsidR="00CF50DB">
        <w:rPr>
          <w:rFonts w:ascii="Calibri" w:hAnsi="Calibri" w:cs="Calibri"/>
          <w:sz w:val="22"/>
          <w:szCs w:val="22"/>
        </w:rPr>
        <w:t>muthene</w:t>
      </w:r>
      <w:proofErr w:type="spellEnd"/>
      <w:r w:rsidR="00CF50DB">
        <w:rPr>
          <w:rFonts w:ascii="Calibri" w:hAnsi="Calibri" w:cs="Calibri"/>
          <w:sz w:val="22"/>
          <w:szCs w:val="22"/>
        </w:rPr>
        <w:t xml:space="preserve"> cannot be </w:t>
      </w:r>
      <w:r w:rsidR="00C62FE9">
        <w:rPr>
          <w:rFonts w:ascii="Calibri" w:hAnsi="Calibri" w:cs="Calibri"/>
          <w:sz w:val="22"/>
          <w:szCs w:val="22"/>
        </w:rPr>
        <w:t>computed using this model.</w:t>
      </w:r>
    </w:p>
    <w:p w14:paraId="4194454A" w14:textId="75877EB2" w:rsidR="00045573" w:rsidRPr="006B3866" w:rsidRDefault="00972D6F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A33059D" wp14:editId="2D918FFB">
            <wp:simplePos x="0" y="0"/>
            <wp:positionH relativeFrom="column">
              <wp:posOffset>3144520</wp:posOffset>
            </wp:positionH>
            <wp:positionV relativeFrom="paragraph">
              <wp:posOffset>93345</wp:posOffset>
            </wp:positionV>
            <wp:extent cx="3086100" cy="2743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s_for_nanoribbon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27D1A" w14:textId="5EEEC11E" w:rsidR="000228E6" w:rsidRDefault="00E66D12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solve these problems of transferability, w</w:t>
      </w:r>
      <w:r w:rsidR="009462A2" w:rsidRPr="009462A2">
        <w:rPr>
          <w:rFonts w:ascii="Calibri" w:hAnsi="Calibri" w:cs="Calibri"/>
          <w:sz w:val="22"/>
          <w:szCs w:val="22"/>
        </w:rPr>
        <w:t>e calculate the band structure of the 2D allotropes of bismuth using density-functional theory (DFT) and then devel</w:t>
      </w:r>
      <w:r w:rsidR="00F84FE7">
        <w:rPr>
          <w:rFonts w:ascii="Calibri" w:hAnsi="Calibri" w:cs="Calibri"/>
          <w:sz w:val="22"/>
          <w:szCs w:val="22"/>
        </w:rPr>
        <w:t>op new TB models of these materials by fitting their</w:t>
      </w:r>
      <w:r w:rsidR="009462A2" w:rsidRPr="009462A2">
        <w:rPr>
          <w:rFonts w:ascii="Calibri" w:hAnsi="Calibri" w:cs="Calibri"/>
          <w:sz w:val="22"/>
          <w:szCs w:val="22"/>
        </w:rPr>
        <w:t xml:space="preserve"> en</w:t>
      </w:r>
      <w:r w:rsidR="004E1E7C">
        <w:rPr>
          <w:rFonts w:ascii="Calibri" w:hAnsi="Calibri" w:cs="Calibri"/>
          <w:sz w:val="22"/>
          <w:szCs w:val="22"/>
        </w:rPr>
        <w:t>ergy bands with a basis of</w:t>
      </w:r>
      <w:r w:rsidR="00616D0E">
        <w:rPr>
          <w:rFonts w:ascii="Calibri" w:hAnsi="Calibri" w:cs="Calibri"/>
          <w:sz w:val="22"/>
          <w:szCs w:val="22"/>
        </w:rPr>
        <w:t xml:space="preserve"> maximally-localis</w:t>
      </w:r>
      <w:r w:rsidR="00F84FE7">
        <w:rPr>
          <w:rFonts w:ascii="Calibri" w:hAnsi="Calibri" w:cs="Calibri"/>
          <w:sz w:val="22"/>
          <w:szCs w:val="22"/>
        </w:rPr>
        <w:t>ed</w:t>
      </w:r>
      <w:r w:rsidR="004E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E1E7C">
        <w:rPr>
          <w:rFonts w:ascii="Calibri" w:hAnsi="Calibri" w:cs="Calibri"/>
          <w:sz w:val="22"/>
          <w:szCs w:val="22"/>
        </w:rPr>
        <w:t>Wan</w:t>
      </w:r>
      <w:r w:rsidR="009462A2" w:rsidRPr="009462A2">
        <w:rPr>
          <w:rFonts w:ascii="Calibri" w:hAnsi="Calibri" w:cs="Calibri"/>
          <w:sz w:val="22"/>
          <w:szCs w:val="22"/>
        </w:rPr>
        <w:t>nier</w:t>
      </w:r>
      <w:proofErr w:type="spellEnd"/>
      <w:r w:rsidR="009462A2" w:rsidRPr="009462A2">
        <w:rPr>
          <w:rFonts w:ascii="Calibri" w:hAnsi="Calibri" w:cs="Calibri"/>
          <w:sz w:val="22"/>
          <w:szCs w:val="22"/>
        </w:rPr>
        <w:t xml:space="preserve"> functions. We do this for </w:t>
      </w:r>
      <w:proofErr w:type="spellStart"/>
      <w:r w:rsidR="009462A2" w:rsidRPr="009462A2">
        <w:rPr>
          <w:rFonts w:ascii="Calibri" w:hAnsi="Calibri" w:cs="Calibri"/>
          <w:sz w:val="22"/>
          <w:szCs w:val="22"/>
        </w:rPr>
        <w:t>bismuthene</w:t>
      </w:r>
      <w:proofErr w:type="spellEnd"/>
      <w:r w:rsidR="009462A2" w:rsidRPr="009462A2">
        <w:rPr>
          <w:rFonts w:ascii="Calibri" w:hAnsi="Calibri" w:cs="Calibri"/>
          <w:sz w:val="22"/>
          <w:szCs w:val="22"/>
        </w:rPr>
        <w:t xml:space="preserve"> and the (1</w:t>
      </w:r>
      <w:r w:rsidR="00F84FE7">
        <w:rPr>
          <w:rFonts w:ascii="Calibri" w:hAnsi="Calibri" w:cs="Calibri"/>
          <w:sz w:val="22"/>
          <w:szCs w:val="22"/>
        </w:rPr>
        <w:t xml:space="preserve">11) and (110) bismuth bilayers. </w:t>
      </w:r>
    </w:p>
    <w:p w14:paraId="279BDA58" w14:textId="77777777" w:rsidR="000228E6" w:rsidRDefault="000228E6" w:rsidP="00711813">
      <w:pPr>
        <w:jc w:val="both"/>
        <w:rPr>
          <w:rFonts w:ascii="Calibri" w:hAnsi="Calibri" w:cs="Calibri"/>
          <w:sz w:val="22"/>
          <w:szCs w:val="22"/>
        </w:rPr>
      </w:pPr>
    </w:p>
    <w:p w14:paraId="70546230" w14:textId="5B9927CE" w:rsidR="00045573" w:rsidRDefault="000228E6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79034" wp14:editId="23CF07D4">
                <wp:simplePos x="0" y="0"/>
                <wp:positionH relativeFrom="column">
                  <wp:posOffset>3150235</wp:posOffset>
                </wp:positionH>
                <wp:positionV relativeFrom="paragraph">
                  <wp:posOffset>1308735</wp:posOffset>
                </wp:positionV>
                <wp:extent cx="3086100" cy="683895"/>
                <wp:effectExtent l="0" t="0" r="12700" b="19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838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C0B2FC" w14:textId="61AE5859" w:rsidR="00972D6F" w:rsidRPr="006721B9" w:rsidRDefault="00972D6F" w:rsidP="007E0088">
                            <w:pPr>
                              <w:pStyle w:val="Caption"/>
                              <w:jc w:val="both"/>
                              <w:rPr>
                                <w:rFonts w:asciiTheme="minorHAnsi" w:hAnsiTheme="minorHAnsi" w:cs="Calibri"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721B9">
                              <w:rPr>
                                <w:rFonts w:asciiTheme="minorHAnsi" w:hAnsi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Figure </w:t>
                            </w:r>
                            <w:r w:rsidR="007E0088" w:rsidRPr="006721B9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Band structure of</w:t>
                            </w:r>
                            <w:r w:rsidR="007C2A7F" w:rsidRPr="006721B9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 w:rsidR="00851894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bismuth</w:t>
                            </w:r>
                            <w:r w:rsidR="007C2A7F" w:rsidRPr="006721B9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(111) nanoribbon</w:t>
                            </w:r>
                            <w:r w:rsidR="007E0088" w:rsidRPr="006721B9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that is 17 nm wide and has </w:t>
                            </w:r>
                            <w:r w:rsidR="007C2A7F" w:rsidRPr="006721B9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armchair edge termination. T</w:t>
                            </w:r>
                            <w:r w:rsidR="007E0088" w:rsidRPr="006721B9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he bands of two edge states </w:t>
                            </w:r>
                            <w:r w:rsidR="007C2A7F" w:rsidRPr="006721B9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cross the gap</w:t>
                            </w:r>
                            <w:r w:rsidR="007E0088" w:rsidRPr="006721B9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between the valence and conduction bands.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79034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8.05pt;margin-top:103.05pt;width:243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" stroked="f">
                <v:textbox inset="0,0,0,0">
                  <w:txbxContent>
                    <w:p w14:paraId="08C0B2FC" w14:textId="61AE5859" w:rsidR="00972D6F" w:rsidRPr="006721B9" w:rsidRDefault="00972D6F" w:rsidP="007E0088">
                      <w:pPr>
                        <w:pStyle w:val="Caption"/>
                        <w:jc w:val="both"/>
                        <w:rPr>
                          <w:rFonts w:asciiTheme="minorHAnsi" w:hAnsiTheme="minorHAnsi" w:cs="Calibri"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6721B9">
                        <w:rPr>
                          <w:rFonts w:asciiTheme="minorHAnsi" w:hAnsi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 xml:space="preserve">Figure </w:t>
                      </w:r>
                      <w:r w:rsidR="007E0088" w:rsidRPr="006721B9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</w:rPr>
                        <w:t>Band structure of</w:t>
                      </w:r>
                      <w:r w:rsidR="007C2A7F" w:rsidRPr="006721B9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</w:rPr>
                        <w:t xml:space="preserve"> a </w:t>
                      </w:r>
                      <w:r w:rsidR="00851894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</w:rPr>
                        <w:t>bismuth</w:t>
                      </w:r>
                      <w:r w:rsidR="007C2A7F" w:rsidRPr="006721B9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</w:rPr>
                        <w:t xml:space="preserve"> (111) nanoribbon</w:t>
                      </w:r>
                      <w:r w:rsidR="007E0088" w:rsidRPr="006721B9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</w:rPr>
                        <w:t xml:space="preserve"> that is 17 nm wide and has </w:t>
                      </w:r>
                      <w:r w:rsidR="007C2A7F" w:rsidRPr="006721B9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</w:rPr>
                        <w:t>armchair edge termination. T</w:t>
                      </w:r>
                      <w:r w:rsidR="007E0088" w:rsidRPr="006721B9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</w:rPr>
                        <w:t xml:space="preserve">he bands of two edge states </w:t>
                      </w:r>
                      <w:r w:rsidR="007C2A7F" w:rsidRPr="006721B9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</w:rPr>
                        <w:t>cross the gap</w:t>
                      </w:r>
                      <w:r w:rsidR="007E0088" w:rsidRPr="006721B9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</w:rPr>
                        <w:t xml:space="preserve"> between the valence and conduction bands.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2A2" w:rsidRPr="009462A2">
        <w:rPr>
          <w:rFonts w:ascii="Calibri" w:hAnsi="Calibri" w:cs="Calibri"/>
          <w:sz w:val="22"/>
          <w:szCs w:val="22"/>
        </w:rPr>
        <w:t xml:space="preserve">Our density-functional calculations </w:t>
      </w:r>
      <w:r w:rsidR="00B335CA">
        <w:rPr>
          <w:rFonts w:ascii="Calibri" w:hAnsi="Calibri" w:cs="Calibri"/>
          <w:sz w:val="22"/>
          <w:szCs w:val="22"/>
        </w:rPr>
        <w:t>allow</w:t>
      </w:r>
      <w:r w:rsidR="009462A2" w:rsidRPr="009462A2">
        <w:rPr>
          <w:rFonts w:ascii="Calibri" w:hAnsi="Calibri" w:cs="Calibri"/>
          <w:sz w:val="22"/>
          <w:szCs w:val="22"/>
        </w:rPr>
        <w:t xml:space="preserve"> for the atomic structure of the 2D allotropes to</w:t>
      </w:r>
      <w:r w:rsidR="00497346">
        <w:rPr>
          <w:rFonts w:ascii="Calibri" w:hAnsi="Calibri" w:cs="Calibri"/>
          <w:sz w:val="22"/>
          <w:szCs w:val="22"/>
        </w:rPr>
        <w:t xml:space="preserve"> be geometry relaxed from bulk.</w:t>
      </w:r>
      <w:r>
        <w:rPr>
          <w:rFonts w:ascii="Calibri" w:hAnsi="Calibri" w:cs="Calibri"/>
          <w:sz w:val="22"/>
          <w:szCs w:val="22"/>
        </w:rPr>
        <w:t xml:space="preserve"> Furthermore, t</w:t>
      </w:r>
      <w:r w:rsidRPr="00C7246C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 number of TB parameters in our</w:t>
      </w:r>
      <w:r w:rsidRPr="00C7246C">
        <w:rPr>
          <w:rFonts w:ascii="Calibri" w:hAnsi="Calibri" w:cs="Calibri"/>
          <w:sz w:val="22"/>
          <w:szCs w:val="22"/>
        </w:rPr>
        <w:t xml:space="preserve"> models have been </w:t>
      </w:r>
      <w:proofErr w:type="spellStart"/>
      <w:r w:rsidRPr="00C7246C">
        <w:rPr>
          <w:rFonts w:ascii="Calibri" w:hAnsi="Calibri" w:cs="Calibri"/>
          <w:sz w:val="22"/>
          <w:szCs w:val="22"/>
        </w:rPr>
        <w:t>minimised</w:t>
      </w:r>
      <w:proofErr w:type="spellEnd"/>
      <w:r w:rsidRPr="00C7246C">
        <w:rPr>
          <w:rFonts w:ascii="Calibri" w:hAnsi="Calibri" w:cs="Calibri"/>
          <w:sz w:val="22"/>
          <w:szCs w:val="22"/>
        </w:rPr>
        <w:t xml:space="preserve"> while not sacrificing the quality of the fits to the band structures from DFT, nor the symmetry of the bases or topologically non-trivial properties of each system. We can therefore be confident that while the resulting Hamiltonians for these nanostr</w:t>
      </w:r>
      <w:r w:rsidR="00B21C79">
        <w:rPr>
          <w:rFonts w:ascii="Calibri" w:hAnsi="Calibri" w:cs="Calibri"/>
          <w:sz w:val="22"/>
          <w:szCs w:val="22"/>
        </w:rPr>
        <w:t xml:space="preserve">uctures can be written as </w:t>
      </w:r>
      <w:r w:rsidRPr="00C7246C">
        <w:rPr>
          <w:rFonts w:ascii="Calibri" w:hAnsi="Calibri" w:cs="Calibri"/>
          <w:sz w:val="22"/>
          <w:szCs w:val="22"/>
        </w:rPr>
        <w:t>sparse matrices, which allow for greater computational tractability, they also accurately capture th</w:t>
      </w:r>
      <w:r>
        <w:rPr>
          <w:rFonts w:ascii="Calibri" w:hAnsi="Calibri" w:cs="Calibri"/>
          <w:sz w:val="22"/>
          <w:szCs w:val="22"/>
        </w:rPr>
        <w:t>e physics of each 2D allotrope.</w:t>
      </w:r>
    </w:p>
    <w:p w14:paraId="3610DA5C" w14:textId="0AB8AC0A" w:rsidR="009420AB" w:rsidRDefault="009420AB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138C8DA" w14:textId="55E6B0A8" w:rsidR="001C3139" w:rsidRDefault="00C7246C" w:rsidP="00C7246C">
      <w:pPr>
        <w:jc w:val="both"/>
        <w:rPr>
          <w:rFonts w:ascii="Calibri" w:hAnsi="Calibri" w:cs="Calibri"/>
          <w:sz w:val="22"/>
          <w:szCs w:val="22"/>
        </w:rPr>
      </w:pPr>
      <w:r w:rsidRPr="00C7246C">
        <w:rPr>
          <w:rFonts w:ascii="Calibri" w:hAnsi="Calibri" w:cs="Calibri"/>
          <w:sz w:val="22"/>
          <w:szCs w:val="22"/>
        </w:rPr>
        <w:t>Accurate TB models for the 2D allotropes of bismuth are needed to simulate el</w:t>
      </w:r>
      <w:r w:rsidR="00497346">
        <w:rPr>
          <w:rFonts w:ascii="Calibri" w:hAnsi="Calibri" w:cs="Calibri"/>
          <w:sz w:val="22"/>
          <w:szCs w:val="22"/>
        </w:rPr>
        <w:t>ectron transport in these mate</w:t>
      </w:r>
      <w:r w:rsidRPr="00C7246C">
        <w:rPr>
          <w:rFonts w:ascii="Calibri" w:hAnsi="Calibri" w:cs="Calibri"/>
          <w:sz w:val="22"/>
          <w:szCs w:val="22"/>
        </w:rPr>
        <w:t>rials</w:t>
      </w:r>
      <w:r w:rsidR="00B21C79">
        <w:rPr>
          <w:rFonts w:ascii="Calibri" w:hAnsi="Calibri" w:cs="Calibri"/>
          <w:sz w:val="22"/>
          <w:szCs w:val="22"/>
        </w:rPr>
        <w:t>, which we do using the non-equilibrium Green’s function formalism</w:t>
      </w:r>
      <w:r w:rsidRPr="00C7246C">
        <w:rPr>
          <w:rFonts w:ascii="Calibri" w:hAnsi="Calibri" w:cs="Calibri"/>
          <w:sz w:val="22"/>
          <w:szCs w:val="22"/>
        </w:rPr>
        <w:t>. As these 2D allot</w:t>
      </w:r>
      <w:r w:rsidR="00497346">
        <w:rPr>
          <w:rFonts w:ascii="Calibri" w:hAnsi="Calibri" w:cs="Calibri"/>
          <w:sz w:val="22"/>
          <w:szCs w:val="22"/>
        </w:rPr>
        <w:t>ropes are predicted to be topo</w:t>
      </w:r>
      <w:r w:rsidRPr="00C7246C">
        <w:rPr>
          <w:rFonts w:ascii="Calibri" w:hAnsi="Calibri" w:cs="Calibri"/>
          <w:sz w:val="22"/>
          <w:szCs w:val="22"/>
        </w:rPr>
        <w:t xml:space="preserve">logically non-trivial, it is essential that TB models reproduce such </w:t>
      </w:r>
      <w:proofErr w:type="spellStart"/>
      <w:r w:rsidRPr="00C7246C">
        <w:rPr>
          <w:rFonts w:ascii="Calibri" w:hAnsi="Calibri" w:cs="Calibri"/>
          <w:sz w:val="22"/>
          <w:szCs w:val="22"/>
        </w:rPr>
        <w:t>beha</w:t>
      </w:r>
      <w:r w:rsidR="001C3139">
        <w:rPr>
          <w:rFonts w:ascii="Calibri" w:hAnsi="Calibri" w:cs="Calibri"/>
          <w:sz w:val="22"/>
          <w:szCs w:val="22"/>
        </w:rPr>
        <w:t>viour</w:t>
      </w:r>
      <w:proofErr w:type="spellEnd"/>
      <w:r w:rsidR="001C3139">
        <w:rPr>
          <w:rFonts w:ascii="Calibri" w:hAnsi="Calibri" w:cs="Calibri"/>
          <w:sz w:val="22"/>
          <w:szCs w:val="22"/>
        </w:rPr>
        <w:t>.</w:t>
      </w: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692764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692764">
        <w:rPr>
          <w:rFonts w:ascii="Calibri" w:hAnsi="Calibri" w:cs="Calibri"/>
          <w:b/>
          <w:lang w:val="en-AU"/>
        </w:rPr>
        <w:t>References</w:t>
      </w:r>
    </w:p>
    <w:p w14:paraId="610D23AA" w14:textId="7A9E4855" w:rsidR="008549E8" w:rsidRPr="006721B9" w:rsidRDefault="008549E8" w:rsidP="008549E8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6721B9">
        <w:rPr>
          <w:rFonts w:asciiTheme="minorHAnsi" w:hAnsiTheme="minorHAnsi" w:cstheme="minorHAnsi"/>
          <w:sz w:val="22"/>
          <w:szCs w:val="22"/>
        </w:rPr>
        <w:t xml:space="preserve">Kane and </w:t>
      </w:r>
      <w:proofErr w:type="spellStart"/>
      <w:r w:rsidRPr="006721B9">
        <w:rPr>
          <w:rFonts w:asciiTheme="minorHAnsi" w:hAnsiTheme="minorHAnsi" w:cstheme="minorHAnsi"/>
          <w:sz w:val="22"/>
          <w:szCs w:val="22"/>
        </w:rPr>
        <w:t>Mele</w:t>
      </w:r>
      <w:proofErr w:type="spellEnd"/>
      <w:r w:rsidRPr="006721B9">
        <w:rPr>
          <w:rFonts w:asciiTheme="minorHAnsi" w:hAnsiTheme="minorHAnsi" w:cstheme="minorHAnsi"/>
          <w:sz w:val="22"/>
          <w:szCs w:val="22"/>
        </w:rPr>
        <w:t xml:space="preserve">, PRL </w:t>
      </w:r>
      <w:r w:rsidRPr="006721B9">
        <w:rPr>
          <w:rFonts w:asciiTheme="minorHAnsi" w:hAnsiTheme="minorHAnsi" w:cstheme="minorHAnsi"/>
          <w:b/>
          <w:sz w:val="22"/>
          <w:szCs w:val="22"/>
        </w:rPr>
        <w:t>95</w:t>
      </w:r>
      <w:r w:rsidRPr="006721B9">
        <w:rPr>
          <w:rFonts w:asciiTheme="minorHAnsi" w:hAnsiTheme="minorHAnsi" w:cstheme="minorHAnsi"/>
          <w:sz w:val="22"/>
          <w:szCs w:val="22"/>
        </w:rPr>
        <w:t>, 146802 (2005).</w:t>
      </w:r>
    </w:p>
    <w:p w14:paraId="018E96C8" w14:textId="41674B0C" w:rsidR="008E39BD" w:rsidRPr="00A7227E" w:rsidRDefault="008E39BD" w:rsidP="00A7227E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</w:rPr>
      </w:pPr>
      <w:r w:rsidRPr="006721B9">
        <w:rPr>
          <w:rFonts w:asciiTheme="minorHAnsi" w:hAnsiTheme="minorHAnsi" w:cstheme="minorHAnsi"/>
          <w:sz w:val="22"/>
          <w:szCs w:val="22"/>
        </w:rPr>
        <w:t>Fu</w:t>
      </w:r>
      <w:r w:rsidR="00A7227E">
        <w:rPr>
          <w:rFonts w:asciiTheme="minorHAnsi" w:hAnsiTheme="minorHAnsi" w:cstheme="minorHAnsi"/>
          <w:sz w:val="22"/>
          <w:szCs w:val="22"/>
        </w:rPr>
        <w:t xml:space="preserve"> and Kane, PRB </w:t>
      </w:r>
      <w:r w:rsidR="00A7227E" w:rsidRPr="00A7227E">
        <w:rPr>
          <w:rFonts w:asciiTheme="minorHAnsi" w:hAnsiTheme="minorHAnsi" w:cstheme="minorHAnsi"/>
          <w:b/>
          <w:sz w:val="22"/>
          <w:szCs w:val="22"/>
        </w:rPr>
        <w:t>76</w:t>
      </w:r>
      <w:r w:rsidR="00A7227E">
        <w:rPr>
          <w:rFonts w:asciiTheme="minorHAnsi" w:hAnsiTheme="minorHAnsi" w:cstheme="minorHAnsi"/>
          <w:sz w:val="22"/>
          <w:szCs w:val="22"/>
        </w:rPr>
        <w:t xml:space="preserve">, </w:t>
      </w:r>
      <w:r w:rsidR="00A7227E" w:rsidRPr="00A7227E">
        <w:rPr>
          <w:rFonts w:asciiTheme="minorHAnsi" w:hAnsiTheme="minorHAnsi" w:cstheme="minorHAnsi"/>
          <w:sz w:val="22"/>
          <w:szCs w:val="22"/>
        </w:rPr>
        <w:t>045302</w:t>
      </w:r>
      <w:r w:rsidR="006D7C37">
        <w:rPr>
          <w:rFonts w:asciiTheme="minorHAnsi" w:hAnsiTheme="minorHAnsi" w:cstheme="minorHAnsi"/>
          <w:sz w:val="22"/>
          <w:szCs w:val="22"/>
        </w:rPr>
        <w:t xml:space="preserve"> (</w:t>
      </w:r>
      <w:r w:rsidR="00BF2680">
        <w:rPr>
          <w:rFonts w:asciiTheme="minorHAnsi" w:hAnsiTheme="minorHAnsi" w:cstheme="minorHAnsi"/>
          <w:sz w:val="22"/>
          <w:szCs w:val="22"/>
        </w:rPr>
        <w:t>2007</w:t>
      </w:r>
      <w:r w:rsidR="006D7C37">
        <w:rPr>
          <w:rFonts w:asciiTheme="minorHAnsi" w:hAnsiTheme="minorHAnsi" w:cstheme="minorHAnsi"/>
          <w:sz w:val="22"/>
          <w:szCs w:val="22"/>
        </w:rPr>
        <w:t>).</w:t>
      </w:r>
    </w:p>
    <w:p w14:paraId="1EACC2E9" w14:textId="0FFAF941" w:rsidR="008E39BD" w:rsidRPr="00994501" w:rsidRDefault="008E39BD" w:rsidP="00994501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</w:rPr>
      </w:pPr>
      <w:r w:rsidRPr="006721B9">
        <w:rPr>
          <w:rFonts w:asciiTheme="minorHAnsi" w:hAnsiTheme="minorHAnsi" w:cstheme="minorHAnsi"/>
          <w:sz w:val="22"/>
          <w:szCs w:val="22"/>
        </w:rPr>
        <w:t>Mur</w:t>
      </w:r>
      <w:r w:rsidR="005E3F49">
        <w:rPr>
          <w:rFonts w:asciiTheme="minorHAnsi" w:hAnsiTheme="minorHAnsi" w:cstheme="minorHAnsi"/>
          <w:sz w:val="22"/>
          <w:szCs w:val="22"/>
        </w:rPr>
        <w:t>a</w:t>
      </w:r>
      <w:r w:rsidRPr="006721B9">
        <w:rPr>
          <w:rFonts w:asciiTheme="minorHAnsi" w:hAnsiTheme="minorHAnsi" w:cstheme="minorHAnsi"/>
          <w:sz w:val="22"/>
          <w:szCs w:val="22"/>
        </w:rPr>
        <w:t>kami</w:t>
      </w:r>
      <w:r w:rsidR="008F05CC">
        <w:rPr>
          <w:rFonts w:asciiTheme="minorHAnsi" w:hAnsiTheme="minorHAnsi" w:cstheme="minorHAnsi"/>
          <w:sz w:val="22"/>
          <w:szCs w:val="22"/>
        </w:rPr>
        <w:t xml:space="preserve">, PRL </w:t>
      </w:r>
      <w:r w:rsidR="00994501" w:rsidRPr="00994501">
        <w:rPr>
          <w:rFonts w:asciiTheme="minorHAnsi" w:hAnsiTheme="minorHAnsi" w:cstheme="minorHAnsi"/>
          <w:b/>
          <w:bCs/>
          <w:sz w:val="22"/>
          <w:szCs w:val="22"/>
        </w:rPr>
        <w:t xml:space="preserve">97, </w:t>
      </w:r>
      <w:r w:rsidR="00994501">
        <w:rPr>
          <w:rFonts w:asciiTheme="minorHAnsi" w:hAnsiTheme="minorHAnsi" w:cstheme="minorHAnsi"/>
          <w:sz w:val="22"/>
          <w:szCs w:val="22"/>
        </w:rPr>
        <w:t>236805 (2006).</w:t>
      </w:r>
    </w:p>
    <w:p w14:paraId="19A0A76F" w14:textId="2F231656" w:rsidR="00F97620" w:rsidRPr="00096581" w:rsidRDefault="00084BA8" w:rsidP="00096581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Bienie</w:t>
      </w:r>
      <w:r w:rsidR="008E39BD" w:rsidRPr="006721B9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34294B">
        <w:rPr>
          <w:rFonts w:asciiTheme="minorHAnsi" w:hAnsiTheme="minorHAnsi" w:cstheme="minorHAnsi"/>
          <w:sz w:val="22"/>
          <w:szCs w:val="22"/>
        </w:rPr>
        <w:t xml:space="preserve"> </w:t>
      </w:r>
      <w:r w:rsidR="0042685A" w:rsidRPr="0042685A">
        <w:rPr>
          <w:rFonts w:asciiTheme="minorHAnsi" w:hAnsiTheme="minorHAnsi" w:cstheme="minorHAnsi"/>
          <w:i/>
          <w:sz w:val="22"/>
          <w:szCs w:val="22"/>
        </w:rPr>
        <w:t>et al.</w:t>
      </w:r>
      <w:r w:rsidR="0042685A">
        <w:rPr>
          <w:rFonts w:asciiTheme="minorHAnsi" w:hAnsiTheme="minorHAnsi" w:cstheme="minorHAnsi"/>
          <w:sz w:val="22"/>
          <w:szCs w:val="22"/>
        </w:rPr>
        <w:t xml:space="preserve">, </w:t>
      </w:r>
      <w:r w:rsidR="00096581" w:rsidRPr="00096581">
        <w:rPr>
          <w:rFonts w:asciiTheme="minorHAnsi" w:hAnsiTheme="minorHAnsi" w:cstheme="minorHAnsi"/>
          <w:sz w:val="22"/>
          <w:szCs w:val="22"/>
        </w:rPr>
        <w:t xml:space="preserve">J. Phys.: </w:t>
      </w:r>
      <w:proofErr w:type="spellStart"/>
      <w:r w:rsidR="00096581" w:rsidRPr="00096581">
        <w:rPr>
          <w:rFonts w:asciiTheme="minorHAnsi" w:hAnsiTheme="minorHAnsi" w:cstheme="minorHAnsi"/>
          <w:sz w:val="22"/>
          <w:szCs w:val="22"/>
        </w:rPr>
        <w:t>Condens</w:t>
      </w:r>
      <w:proofErr w:type="spellEnd"/>
      <w:r w:rsidR="00096581" w:rsidRPr="00096581">
        <w:rPr>
          <w:rFonts w:asciiTheme="minorHAnsi" w:hAnsiTheme="minorHAnsi" w:cstheme="minorHAnsi"/>
          <w:sz w:val="22"/>
          <w:szCs w:val="22"/>
        </w:rPr>
        <w:t xml:space="preserve">. Matter </w:t>
      </w:r>
      <w:r w:rsidR="00096581" w:rsidRPr="00096581">
        <w:rPr>
          <w:rFonts w:asciiTheme="minorHAnsi" w:hAnsiTheme="minorHAnsi" w:cstheme="minorHAnsi"/>
          <w:b/>
          <w:bCs/>
          <w:sz w:val="22"/>
          <w:szCs w:val="22"/>
        </w:rPr>
        <w:t xml:space="preserve">29 </w:t>
      </w:r>
      <w:r w:rsidR="00096581">
        <w:rPr>
          <w:rFonts w:asciiTheme="minorHAnsi" w:hAnsiTheme="minorHAnsi" w:cstheme="minorHAnsi"/>
          <w:sz w:val="22"/>
          <w:szCs w:val="22"/>
        </w:rPr>
        <w:t xml:space="preserve">155501 </w:t>
      </w:r>
      <w:r w:rsidR="00096581">
        <w:rPr>
          <w:rFonts w:asciiTheme="minorHAnsi" w:hAnsiTheme="minorHAnsi" w:cstheme="minorHAnsi"/>
          <w:sz w:val="22"/>
          <w:szCs w:val="22"/>
        </w:rPr>
        <w:t>(2017)</w:t>
      </w:r>
      <w:r w:rsidR="00096581">
        <w:rPr>
          <w:rFonts w:asciiTheme="minorHAnsi" w:hAnsiTheme="minorHAnsi" w:cstheme="minorHAnsi"/>
          <w:sz w:val="22"/>
          <w:szCs w:val="22"/>
        </w:rPr>
        <w:t>.</w:t>
      </w:r>
    </w:p>
    <w:p w14:paraId="239BF0FB" w14:textId="02836147" w:rsidR="00B76962" w:rsidRPr="006721B9" w:rsidRDefault="00B76962" w:rsidP="00EA29AC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Liu and Allen</w:t>
      </w:r>
      <w:r w:rsidR="009F5D12">
        <w:rPr>
          <w:rFonts w:asciiTheme="minorHAnsi" w:hAnsiTheme="minorHAnsi" w:cstheme="minorHAnsi"/>
          <w:sz w:val="22"/>
          <w:szCs w:val="22"/>
        </w:rPr>
        <w:t xml:space="preserve">, PRB </w:t>
      </w:r>
      <w:r w:rsidR="0034294B" w:rsidRPr="0034294B">
        <w:rPr>
          <w:rFonts w:asciiTheme="minorHAnsi" w:hAnsiTheme="minorHAnsi" w:cstheme="minorHAnsi"/>
          <w:b/>
          <w:sz w:val="22"/>
          <w:szCs w:val="22"/>
        </w:rPr>
        <w:t>52</w:t>
      </w:r>
      <w:r w:rsidR="0034294B">
        <w:rPr>
          <w:rFonts w:asciiTheme="minorHAnsi" w:hAnsiTheme="minorHAnsi" w:cstheme="minorHAnsi"/>
          <w:sz w:val="22"/>
          <w:szCs w:val="22"/>
        </w:rPr>
        <w:t xml:space="preserve"> 3 (1995).</w:t>
      </w:r>
    </w:p>
    <w:sectPr w:rsidR="00B76962" w:rsidRPr="006721B9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00E9D"/>
    <w:rsid w:val="000228E6"/>
    <w:rsid w:val="000372D2"/>
    <w:rsid w:val="0004118E"/>
    <w:rsid w:val="00045573"/>
    <w:rsid w:val="000837AA"/>
    <w:rsid w:val="00084BA8"/>
    <w:rsid w:val="00096581"/>
    <w:rsid w:val="000E02E0"/>
    <w:rsid w:val="000E4BFF"/>
    <w:rsid w:val="000E4D27"/>
    <w:rsid w:val="001A21AD"/>
    <w:rsid w:val="001B124D"/>
    <w:rsid w:val="001C3139"/>
    <w:rsid w:val="001E3FA3"/>
    <w:rsid w:val="001E57B1"/>
    <w:rsid w:val="001F4381"/>
    <w:rsid w:val="002078AD"/>
    <w:rsid w:val="002226BB"/>
    <w:rsid w:val="00225236"/>
    <w:rsid w:val="002272B0"/>
    <w:rsid w:val="0023153B"/>
    <w:rsid w:val="0027781B"/>
    <w:rsid w:val="0029590B"/>
    <w:rsid w:val="002B67DD"/>
    <w:rsid w:val="002D4A6F"/>
    <w:rsid w:val="002F4C10"/>
    <w:rsid w:val="00300B92"/>
    <w:rsid w:val="0030585E"/>
    <w:rsid w:val="0033692A"/>
    <w:rsid w:val="0034294B"/>
    <w:rsid w:val="00371738"/>
    <w:rsid w:val="00387491"/>
    <w:rsid w:val="00396166"/>
    <w:rsid w:val="00407110"/>
    <w:rsid w:val="00414FCB"/>
    <w:rsid w:val="0042685A"/>
    <w:rsid w:val="00464EFC"/>
    <w:rsid w:val="00483B05"/>
    <w:rsid w:val="00497346"/>
    <w:rsid w:val="004C7D6E"/>
    <w:rsid w:val="004D1579"/>
    <w:rsid w:val="004E1E7C"/>
    <w:rsid w:val="004E28B9"/>
    <w:rsid w:val="004E4AC6"/>
    <w:rsid w:val="004E5450"/>
    <w:rsid w:val="004F4E81"/>
    <w:rsid w:val="004F666D"/>
    <w:rsid w:val="00516748"/>
    <w:rsid w:val="0055229D"/>
    <w:rsid w:val="00561E00"/>
    <w:rsid w:val="00562D19"/>
    <w:rsid w:val="0059609A"/>
    <w:rsid w:val="00597659"/>
    <w:rsid w:val="005A22F6"/>
    <w:rsid w:val="005E3F49"/>
    <w:rsid w:val="005E48A2"/>
    <w:rsid w:val="005F0976"/>
    <w:rsid w:val="005F19FF"/>
    <w:rsid w:val="005F5A34"/>
    <w:rsid w:val="00616D0E"/>
    <w:rsid w:val="0064085A"/>
    <w:rsid w:val="00641190"/>
    <w:rsid w:val="006721B9"/>
    <w:rsid w:val="00676BCD"/>
    <w:rsid w:val="00692764"/>
    <w:rsid w:val="006B3786"/>
    <w:rsid w:val="006B3866"/>
    <w:rsid w:val="006D2774"/>
    <w:rsid w:val="006D7C37"/>
    <w:rsid w:val="0070522A"/>
    <w:rsid w:val="00711813"/>
    <w:rsid w:val="00716A42"/>
    <w:rsid w:val="00724E3C"/>
    <w:rsid w:val="00743C46"/>
    <w:rsid w:val="007C2A7F"/>
    <w:rsid w:val="007E0088"/>
    <w:rsid w:val="007E6585"/>
    <w:rsid w:val="007E66B3"/>
    <w:rsid w:val="00800F13"/>
    <w:rsid w:val="008175C9"/>
    <w:rsid w:val="008206D8"/>
    <w:rsid w:val="00825475"/>
    <w:rsid w:val="00851894"/>
    <w:rsid w:val="00851B3B"/>
    <w:rsid w:val="008549E8"/>
    <w:rsid w:val="008909C9"/>
    <w:rsid w:val="008B53DE"/>
    <w:rsid w:val="008E39BD"/>
    <w:rsid w:val="008F05CC"/>
    <w:rsid w:val="00923976"/>
    <w:rsid w:val="009420AB"/>
    <w:rsid w:val="009462A2"/>
    <w:rsid w:val="00947B77"/>
    <w:rsid w:val="00972D6F"/>
    <w:rsid w:val="00976EDA"/>
    <w:rsid w:val="0099009C"/>
    <w:rsid w:val="00994501"/>
    <w:rsid w:val="00997347"/>
    <w:rsid w:val="009B5A1F"/>
    <w:rsid w:val="009E2228"/>
    <w:rsid w:val="009F06D6"/>
    <w:rsid w:val="009F28FF"/>
    <w:rsid w:val="009F2927"/>
    <w:rsid w:val="009F5D12"/>
    <w:rsid w:val="00A112ED"/>
    <w:rsid w:val="00A21181"/>
    <w:rsid w:val="00A263CC"/>
    <w:rsid w:val="00A263FB"/>
    <w:rsid w:val="00A266B4"/>
    <w:rsid w:val="00A35DCF"/>
    <w:rsid w:val="00A7227E"/>
    <w:rsid w:val="00AA44E3"/>
    <w:rsid w:val="00AE4339"/>
    <w:rsid w:val="00B21C79"/>
    <w:rsid w:val="00B335CA"/>
    <w:rsid w:val="00B51BD0"/>
    <w:rsid w:val="00B60C4D"/>
    <w:rsid w:val="00B67C97"/>
    <w:rsid w:val="00B76962"/>
    <w:rsid w:val="00B81D60"/>
    <w:rsid w:val="00BC5FCC"/>
    <w:rsid w:val="00BF2680"/>
    <w:rsid w:val="00BF4D67"/>
    <w:rsid w:val="00C02290"/>
    <w:rsid w:val="00C1734A"/>
    <w:rsid w:val="00C60A71"/>
    <w:rsid w:val="00C62FE9"/>
    <w:rsid w:val="00C7246C"/>
    <w:rsid w:val="00C976AF"/>
    <w:rsid w:val="00CC165A"/>
    <w:rsid w:val="00CF09F8"/>
    <w:rsid w:val="00CF50DB"/>
    <w:rsid w:val="00D16594"/>
    <w:rsid w:val="00D2685D"/>
    <w:rsid w:val="00D31048"/>
    <w:rsid w:val="00D41011"/>
    <w:rsid w:val="00D55F3B"/>
    <w:rsid w:val="00D81EDA"/>
    <w:rsid w:val="00D86276"/>
    <w:rsid w:val="00D944DF"/>
    <w:rsid w:val="00DA2731"/>
    <w:rsid w:val="00DC0ABB"/>
    <w:rsid w:val="00DD2159"/>
    <w:rsid w:val="00DF1C8E"/>
    <w:rsid w:val="00DF7B43"/>
    <w:rsid w:val="00E66D12"/>
    <w:rsid w:val="00EA29AC"/>
    <w:rsid w:val="00EB4410"/>
    <w:rsid w:val="00EB6E89"/>
    <w:rsid w:val="00EC4EA3"/>
    <w:rsid w:val="00EF12F3"/>
    <w:rsid w:val="00F10631"/>
    <w:rsid w:val="00F26BBE"/>
    <w:rsid w:val="00F43950"/>
    <w:rsid w:val="00F57E63"/>
    <w:rsid w:val="00F84FE7"/>
    <w:rsid w:val="00F97620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972D6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477</Words>
  <Characters>2719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3190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Microsoft Office User</cp:lastModifiedBy>
  <cp:revision>133</cp:revision>
  <cp:lastPrinted>2013-06-13T05:15:00Z</cp:lastPrinted>
  <dcterms:created xsi:type="dcterms:W3CDTF">2019-05-29T23:58:00Z</dcterms:created>
  <dcterms:modified xsi:type="dcterms:W3CDTF">2019-08-16T22:13:00Z</dcterms:modified>
</cp:coreProperties>
</file>