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Impact of Varying Doses of Isoproterenol on Preclinical Evaluation of Myocardial Necrosis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Priya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Bhardwaj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Vipin Kumar Verma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Ekta Mutneja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Vaishali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Prajapati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Jagriti Bhatia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Dharamvir Singh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Arya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Department of Pharmacology, All India Institute of Medical Sciences, New Delhi, India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Introduction: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Cardiovascular diseases (CVD) continue to be a major global health challenge, remaining the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major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cause of death worldwide. Although medical treatments have advanced, ischemic heart disorders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especially acute myocardial infarction (MI)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still pose a significant and serious risk.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Myocardial injury induction, a key focus in cardiovascular research, frequently utilizes isoproterenol, a synthetic sympathomimetic agent. The administration of isoproterenol stimulates oxidative stress by increasing the production of reactive oxygen species (ROS), which results in damage to cardiac tissue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Aims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The objective of the present study was to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evaluate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the effects of different dosages of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isoproterenol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on cardiac function, myocardial remodeling,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and its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patholog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y in adult male wistar rats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Methods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present study was conducted on adult male Wistar rats (n = 32), divided into four groups: Sham, Isoproterenol 1 Dose (ISO-1, 85 mg/kg; s.c.), Isoproterenol 2 Doses (ISO-2, 85 mg/kg; s.c.), and Isoproterenol High Dose (ISO-1, 150 mg/kg; s.c.). Each group consisted of 8 rats (n = 8). Rats were treated with different doses of Isoproterenol (85 mg/kg and 150 mg/kg) administered over different time periods: either a single dose or two consecutive doses with a 24-hour interval. The 85 mg/kg and 150 mg/kg doses were injected to induce acute myocardial necrosis, while a single 85 mg/kg dose was used to induce subacute myocardial necrosis. On the 3rd day, rats were anesthetized with sodium pentobarbitone (60 mg/kg, i.p.) for the recording of hemodynamic parameters, followed by serum and heart isolation for morphological and biochemical analysis. Statistical analysis was performed using one-way ANOVA followed by the Tukey-Kramer post hoc test.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Results: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Isoproterenol administration caused significant myocardial injury in a dose- and frequency-dependent manner, as seen by reduced hemodynamic performance, increased cardiac injury markers (CK-MB, LDH), elevated oxidative stress (MDA), and depletion of antioxidants (GSH, SOD, CAT). Inflammatory markers (TNF-α and IL-6) were also elevated, with marked tissue damage observed in histopathology. Higher doses produced more severe alterations in cardiac structure and function.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Conclusion:</w:t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 the future, any of these Iso-induced models can be used to investigate myocardial necrosis and assess the degree and extent of the damage.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8391" w:w="11906" w:orient="landscape"/>
      <w:pgMar w:bottom="851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A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120" w:lineRule="auto"/>
      <w:jc w:val="center"/>
    </w:pPr>
    <w:rPr>
      <w:b w:val="1"/>
      <w:smallCaps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Indent3">
    <w:name w:val="Body Text Indent 3"/>
    <w:basedOn w:val="Normal"/>
    <w:next w:val="BodyTextIndent3"/>
    <w:autoRedefine w:val="0"/>
    <w:hidden w:val="0"/>
    <w:qFormat w:val="0"/>
    <w:pPr>
      <w:suppressAutoHyphens w:val="1"/>
      <w:spacing w:after="120" w:before="120" w:line="1" w:lineRule="atLeast"/>
      <w:ind w:left="-90" w:leftChars="-1" w:rightChars="0" w:firstLineChars="-1"/>
      <w:jc w:val="center"/>
      <w:textDirection w:val="btLr"/>
      <w:textAlignment w:val="top"/>
      <w:outlineLvl w:val="0"/>
    </w:pPr>
    <w:rPr>
      <w:rFonts w:ascii="Times" w:hAnsi="Times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PMingLiU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 w:val="en-US"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Mangal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vj0YrQB66CKyoKXEHEnvh5mIcw==">CgMxLjA4AHIhMXFLTkZUVURoSFdYUTE1RDF6RDhfNV8ya3lnRlJlOVlx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2025-09-15T12:23:00Z</dcterms:created>
  <dc:creator>gillard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str/>
  </property>
  <property fmtid="{D5CDD505-2E9C-101B-9397-08002B2CF9AE}" pid="3" name="TaxCatchAll">
    <vt:lpstr/>
  </property>
</Properties>
</file>