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Impact of Varying Doses of Isoproterenol on Preclinical Evaluation of Myocardial Necrosis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Priya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Bhardwaj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Vipin Kumar Verma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Ekta Mutneja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Vaishali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Prajapati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Jagriti Bhatia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Dharamvir Singh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Arya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Department of Pharmacology, All India Institute of Medical Sciences, New Delhi, India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Introduction: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Cardiovascular diseases (CVD) continue to be a major global health challenge, remaining the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major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cause of death worldwide. Although medical treatments have advanced, ischemic heart disorders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especially acute myocardial infarction (MI)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still pose a significant and serious risk.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Myocardial injury induction, a key focus in cardiovascular research, frequently utilizes isoproterenol, a synthetic sympathomimetic agent. The administration of isoproterenol stimulates oxidative stress by increasing the production of reactive oxygen species (ROS), which results in damage to cardiac tissue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Aims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The objective of the present study was to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evaluate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the effects of different dosages of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isoproterenol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on cardiac function, myocardial remodeling,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 its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patholog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 in adult male wistar rats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Methods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present study was conducted on adult male Wistar rats (n = 32), divided into four groups: Sham, Isoproterenol 1 Dose (ISO-1, 85 mg/kg; s.c.), Isoproterenol 2 Doses (ISO-2, 85 mg/kg; s.c.), and Isoproterenol High Dose (ISO-1, 150 mg/kg; s.c.). Each group consisted of 8 rats (n = 8). Rats were treated with different doses of Isoproterenol (85 mg/kg and 150 mg/kg) administered over different time periods: either a single dose or two consecutive doses with a 24-hour interval. The 85 mg/kg and 150 mg/kg doses were injected to induce acute myocardial necrosis, while a single 85 mg/kg dose was used to induce subacute myocardial necrosis. On the 3rd day, rats were anesthetized with sodium pentobarbitone (60 mg/kg, i.p.) for the recording of hemodynamic parameters, followed by serum and heart isolation for morphological and biochemical analysis. Statistical analysis was performed using one-way ANOVA followed by the Tukey-Kramer post hoc test.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Results: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Isoproterenol administration caused significant myocardial injury in a dose- and frequency-dependent manner, as seen by reduced hemodynamic performance, increased cardiac injury markers (CK-MB, LDH), elevated oxidative stress (MDA), and depletion of antioxidants (GSH, SOD, CAT). Inflammatory markers (TNF-α and IL-6) were also elevated, with marked tissue damage observed in histopathology. Higher doses produced more severe alterations in cardiac structure and function.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Conclusion: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the future, any of these Iso-induced models can be used to investigate myocardial necrosis and assess the degree and extent of the damage.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8391" w:w="11906" w:orient="landscape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120" w:lineRule="auto"/>
      <w:jc w:val="center"/>
    </w:pPr>
    <w:rPr>
      <w:b w:val="1"/>
      <w:smallCap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after="120" w:before="120" w:line="1" w:lineRule="atLeast"/>
      <w:ind w:left="-90" w:leftChars="-1" w:rightChars="0" w:firstLineChars="-1"/>
      <w:jc w:val="center"/>
      <w:textDirection w:val="btLr"/>
      <w:textAlignment w:val="top"/>
      <w:outlineLvl w:val="0"/>
    </w:pPr>
    <w:rPr>
      <w:rFonts w:ascii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PMingLiU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j0YrQB66CKyoKXEHEnvh5mIcw==">CgMxLjA4AHIhMXFLTkZUVURoSFdYUTE1RDF6RDhfNV8ya3lnRlJlOVlx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2025-09-15T12:23:00Z</dcterms:created>
  <dc:creator>gillard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str/>
  </property>
  <property fmtid="{D5CDD505-2E9C-101B-9397-08002B2CF9AE}" pid="3" name="TaxCatchAll">
    <vt:lpstr/>
  </property>
</Properties>
</file>