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44F5" w14:textId="636741D8" w:rsidR="00610875" w:rsidRPr="00F27B7B" w:rsidRDefault="00F27B7B" w:rsidP="00F27B7B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 w:eastAsia="ja-JP"/>
          <w14:ligatures w14:val="none"/>
        </w:rPr>
      </w:pPr>
      <w:r w:rsidRPr="00F27B7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Characterization of Human Immortalized Cell-Based Blood-Brain Barrier Spheroid Models as a Tool for Brain Vascular Inflammation Studies</w:t>
      </w:r>
    </w:p>
    <w:p w14:paraId="23B2A5B6" w14:textId="0878EE76" w:rsidR="000477D7" w:rsidRPr="000477D7" w:rsidRDefault="000477D7" w:rsidP="000477D7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0477D7">
        <w:rPr>
          <w:rFonts w:ascii="Arial" w:eastAsia="Calibri" w:hAnsi="Arial" w:cs="Calibri"/>
          <w:b/>
          <w:bCs/>
          <w:kern w:val="0"/>
          <w:sz w:val="20"/>
          <w:szCs w:val="20"/>
          <w:u w:val="single"/>
          <w:lang w:val="en-US"/>
          <w14:ligatures w14:val="none"/>
        </w:rPr>
        <w:t>Ayuka Ebisawa</w:t>
      </w:r>
      <w:r w:rsidRPr="000477D7">
        <w:rPr>
          <w:rFonts w:ascii="Arial" w:eastAsia="Calibri" w:hAnsi="Arial" w:cs="Calibri"/>
          <w:b/>
          <w:bCs/>
          <w:kern w:val="0"/>
          <w:sz w:val="20"/>
          <w:szCs w:val="20"/>
          <w:u w:val="single"/>
          <w:vertAlign w:val="superscript"/>
          <w:lang w:val="en-US"/>
          <w14:ligatures w14:val="none"/>
        </w:rPr>
        <w:t>1</w:t>
      </w:r>
      <w:r w:rsidRPr="000477D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,</w:t>
      </w:r>
      <w:r w:rsidR="00D407DD" w:rsidRPr="000477D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9F460A">
        <w:rPr>
          <w:rFonts w:ascii="Arial" w:eastAsia="Calibri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Hiromu Watanabe</w:t>
      </w:r>
      <w:r w:rsidR="00D407DD">
        <w:rPr>
          <w:rFonts w:ascii="ＭＳ ゴシック" w:eastAsia="ＭＳ ゴシック" w:hAnsi="ＭＳ ゴシック" w:cs="ＭＳ ゴシック" w:hint="eastAsia"/>
          <w:bCs/>
          <w:kern w:val="0"/>
          <w:sz w:val="20"/>
          <w:szCs w:val="20"/>
          <w:vertAlign w:val="superscript"/>
          <w:lang w:val="en-US" w:eastAsia="ja-JP"/>
          <w14:ligatures w14:val="none"/>
        </w:rPr>
        <w:t>1</w:t>
      </w:r>
      <w:r w:rsidR="00D407DD" w:rsidRPr="000477D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</w:t>
      </w:r>
      <w:r w:rsidR="00D407D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D407DD" w:rsidRPr="000477D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Asuka Minasato</w:t>
      </w:r>
      <w:r w:rsidR="00D407DD">
        <w:rPr>
          <w:rFonts w:ascii="ＭＳ ゴシック" w:eastAsia="ＭＳ ゴシック" w:hAnsi="ＭＳ ゴシック" w:cs="ＭＳ ゴシック" w:hint="eastAsia"/>
          <w:bCs/>
          <w:kern w:val="0"/>
          <w:sz w:val="20"/>
          <w:szCs w:val="20"/>
          <w:vertAlign w:val="superscript"/>
          <w:lang w:val="en-US" w:eastAsia="ja-JP"/>
          <w14:ligatures w14:val="none"/>
        </w:rPr>
        <w:t>2</w:t>
      </w:r>
      <w:r w:rsidRPr="000477D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</w:t>
      </w:r>
      <w:r w:rsidR="00D407D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Furano Kunitomo</w:t>
      </w:r>
      <w:r w:rsidR="00D407DD" w:rsidRPr="00D407DD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2,</w:t>
      </w:r>
      <w:r w:rsidR="00D407D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0477D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Hanae Morio</w:t>
      </w:r>
      <w:r w:rsidRPr="000477D7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Pr="000477D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 Tomomi Furihata</w:t>
      </w:r>
      <w:r w:rsidRPr="000477D7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1</w:t>
      </w:r>
    </w:p>
    <w:p w14:paraId="41D3E6E0" w14:textId="77777777" w:rsidR="000477D7" w:rsidRDefault="000477D7" w:rsidP="000477D7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val="en-US" w:eastAsia="ja-JP"/>
          <w14:ligatures w14:val="none"/>
        </w:rPr>
      </w:pPr>
    </w:p>
    <w:p w14:paraId="3FF94CD6" w14:textId="77777777" w:rsidR="00CC3A19" w:rsidRPr="00D922DB" w:rsidRDefault="00CC3A19" w:rsidP="00CC3A19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301D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Lab Adv. Drug Dev. Sci, Sch Pharm, Tokyo Univ Pharm &amp; Life Sci.</w:t>
      </w:r>
      <w:r w:rsidRPr="00D922DB">
        <w:rPr>
          <w:rFonts w:ascii="Arial" w:hAnsi="Arial" w:cs="Arial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  <w:r>
        <w:rPr>
          <w:rFonts w:ascii="Arial" w:hAnsi="Arial" w:cs="Arial" w:hint="eastAsia"/>
          <w:bCs/>
          <w:kern w:val="0"/>
          <w:sz w:val="20"/>
          <w:szCs w:val="20"/>
          <w:lang w:eastAsia="ja-JP"/>
          <w14:ligatures w14:val="none"/>
        </w:rPr>
        <w:t xml:space="preserve">, Hachioji, Tokyo, </w:t>
      </w:r>
      <w:proofErr w:type="gramStart"/>
      <w:r>
        <w:rPr>
          <w:rFonts w:ascii="Arial" w:hAnsi="Arial" w:cs="Arial" w:hint="eastAsia"/>
          <w:bCs/>
          <w:kern w:val="0"/>
          <w:sz w:val="20"/>
          <w:szCs w:val="20"/>
          <w:lang w:eastAsia="ja-JP"/>
          <w14:ligatures w14:val="none"/>
        </w:rPr>
        <w:t>Japan;</w:t>
      </w:r>
      <w:proofErr w:type="gramEnd"/>
    </w:p>
    <w:p w14:paraId="5A0593CB" w14:textId="5B8B16D0" w:rsidR="00CC3A19" w:rsidRPr="00CC3A19" w:rsidRDefault="00CC3A19" w:rsidP="00CC3A19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 w:rsidRPr="00301D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Lab Clin Pharm &amp; Exp </w:t>
      </w:r>
      <w:proofErr w:type="spellStart"/>
      <w:r w:rsidRPr="00301D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Therapeut</w:t>
      </w:r>
      <w:proofErr w:type="spellEnd"/>
      <w:r w:rsidRPr="00301D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Sch Pharm, Tokyo Univ Pharm &amp; Life Sci.</w:t>
      </w:r>
      <w:r w:rsidRPr="00D922DB">
        <w:rPr>
          <w:rFonts w:ascii="Arial" w:hAnsi="Arial" w:cs="Arial"/>
          <w:bCs/>
          <w:kern w:val="0"/>
          <w:sz w:val="20"/>
          <w:szCs w:val="20"/>
          <w:vertAlign w:val="superscript"/>
          <w:lang w:eastAsia="ja-JP"/>
          <w14:ligatures w14:val="none"/>
        </w:rPr>
        <w:t>2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Hachioji, Tokyo, Japan</w:t>
      </w:r>
      <w:r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.</w:t>
      </w:r>
    </w:p>
    <w:p w14:paraId="1F61A00E" w14:textId="77777777" w:rsidR="00F27B7B" w:rsidRPr="00CC3A19" w:rsidRDefault="00F27B7B" w:rsidP="00F27B7B">
      <w:pPr>
        <w:pStyle w:val="a9"/>
        <w:spacing w:after="0" w:line="240" w:lineRule="auto"/>
        <w:ind w:left="360"/>
        <w:rPr>
          <w:rFonts w:ascii="Arial" w:eastAsia="Calibri" w:hAnsi="Arial" w:cs="Calibri"/>
          <w:bCs/>
          <w:kern w:val="0"/>
          <w:sz w:val="20"/>
          <w:szCs w:val="20"/>
          <w:lang w:eastAsia="ja-JP"/>
          <w14:ligatures w14:val="none"/>
        </w:rPr>
      </w:pPr>
    </w:p>
    <w:p w14:paraId="65A16BD0" w14:textId="41F1951F" w:rsidR="00751A30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The blood-brain barrier (BBB), mainly formed by brain microvascular endothelial cells (BMEC</w:t>
      </w:r>
      <w:r w:rsidR="009E7955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s</w:t>
      </w:r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), restricts </w:t>
      </w:r>
      <w:r w:rsidR="009E7955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entry of various </w:t>
      </w:r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substance</w:t>
      </w:r>
      <w:r w:rsidR="009E7955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s</w:t>
      </w:r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from the blood into the brain. As BBB inflam</w:t>
      </w:r>
      <w:r w:rsidR="00065E6F" w:rsidRPr="00AA2301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mation</w:t>
      </w:r>
      <w:r w:rsidR="009E7955" w:rsidRPr="00630CF5">
        <w:rPr>
          <w:rFonts w:ascii="Arial" w:hAnsi="Arial" w:cs="Arial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9E7955" w:rsidRPr="00630CF5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–</w:t>
      </w:r>
      <w:r w:rsidR="009E7955" w:rsidRPr="00630CF5">
        <w:rPr>
          <w:rFonts w:ascii="Arial" w:hAnsi="Arial" w:cs="Arial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9E7955" w:rsidRPr="00AA2301">
        <w:rPr>
          <w:rFonts w:ascii="Arial" w:hAnsi="Arial" w:cs="Arial"/>
          <w:bCs/>
          <w:kern w:val="0"/>
          <w:sz w:val="20"/>
          <w:szCs w:val="20"/>
          <w:lang w:eastAsia="ja-JP"/>
          <w14:ligatures w14:val="none"/>
        </w:rPr>
        <w:t>ch</w:t>
      </w:r>
      <w:r w:rsidR="009E7955" w:rsidRPr="009E7955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aracterized</w:t>
      </w:r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by barrier dysfunction and immune cell recruit</w:t>
      </w:r>
      <w:r w:rsidR="00065E6F" w:rsidRPr="00AA2301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ment</w:t>
      </w:r>
      <w:r w:rsidR="009E7955" w:rsidRPr="00630CF5">
        <w:rPr>
          <w:rFonts w:ascii="Arial" w:hAnsi="Arial" w:cs="Arial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9E7955" w:rsidRPr="00630CF5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–</w:t>
      </w:r>
      <w:r w:rsidR="009E7955" w:rsidRPr="00630CF5">
        <w:rPr>
          <w:rFonts w:ascii="Arial" w:hAnsi="Arial" w:cs="Arial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065E6F" w:rsidRPr="00AA2301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c</w:t>
      </w:r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ontributes to various brain diseases, its </w:t>
      </w:r>
      <w:r w:rsidR="009E7955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modulation</w:t>
      </w:r>
      <w:r w:rsidR="009E7955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8565C7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represents </w:t>
      </w:r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 promising </w:t>
      </w:r>
      <w:r w:rsidR="009E7955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therapeutic</w:t>
      </w:r>
      <w:r w:rsidR="009E7955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8565C7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approach</w:t>
      </w:r>
      <w:r w:rsidR="00393ED8" w:rsidRPr="00393ED8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1)</w:t>
      </w:r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  <w:r w:rsidR="00393ED8">
        <w:rPr>
          <w:rFonts w:ascii="Arial" w:eastAsia="Calibri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To </w:t>
      </w:r>
      <w:r w:rsidR="008565C7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facilitate</w:t>
      </w:r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such study, we</w:t>
      </w:r>
      <w:r w:rsid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have</w:t>
      </w:r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create</w:t>
      </w:r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 human immortalized cell-based multicellular spheroidal BBB models (</w:t>
      </w:r>
      <w:proofErr w:type="spellStart"/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hiMCS</w:t>
      </w:r>
      <w:proofErr w:type="spellEnd"/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-BBB) using three types of immortalized BBB cells:</w:t>
      </w:r>
      <w:r w:rsid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BMEC</w:t>
      </w:r>
      <w:r w:rsidR="009E7955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s,</w:t>
      </w:r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astrocytes, and pericytes</w:t>
      </w:r>
      <w:r w:rsidR="00393ED8" w:rsidRPr="00393ED8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2)</w:t>
      </w:r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. This study aimed to </w:t>
      </w:r>
      <w:r w:rsidR="009E7955" w:rsidRPr="009E795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characterize</w:t>
      </w:r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their inflammatory response profiles and </w:t>
      </w:r>
      <w:r w:rsidR="009E7955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evaluate</w:t>
      </w:r>
      <w:r w:rsidR="009E7955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their </w:t>
      </w:r>
      <w:r w:rsidR="009E7955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applica</w:t>
      </w:r>
      <w:r w:rsidR="009E7955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bility</w:t>
      </w:r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9E7955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to</w:t>
      </w:r>
      <w:r w:rsidR="009E7955" w:rsidRPr="009E795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drug development</w:t>
      </w:r>
      <w:r w:rsidR="009E7955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studies</w:t>
      </w:r>
      <w:r w:rsidR="00065E6F" w:rsidRPr="00065E6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</w:p>
    <w:p w14:paraId="32D4242E" w14:textId="77777777" w:rsidR="00065E6F" w:rsidRPr="00751A30" w:rsidRDefault="00065E6F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US" w:eastAsia="ja-JP"/>
          <w14:ligatures w14:val="none"/>
        </w:rPr>
      </w:pPr>
    </w:p>
    <w:p w14:paraId="4FA9C7D8" w14:textId="075528CC" w:rsidR="00610875" w:rsidRPr="00630CF5" w:rsidRDefault="00795378" w:rsidP="009E0FBA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en-US" w:eastAsia="ja-JP"/>
          <w14:ligatures w14:val="none"/>
        </w:rPr>
      </w:pPr>
      <w:r w:rsidRPr="00E00B22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</w:t>
      </w:r>
      <w:r w:rsidR="00E00B22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and </w:t>
      </w:r>
      <w:r w:rsidR="00E00B22" w:rsidRPr="00E00B2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Discussion</w:t>
      </w:r>
      <w:r w:rsidRPr="00E00B22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</w:t>
      </w:r>
      <w:r w:rsidR="007A2405" w:rsidRPr="00730D5E">
        <w:rPr>
          <w:rFonts w:ascii="Arial" w:eastAsia="ＭＳ ゴシック" w:hAnsi="Arial" w:cs="Arial"/>
          <w:kern w:val="0"/>
          <w:lang w:val="en-US" w:eastAsia="ja-JP"/>
          <w14:ligatures w14:val="none"/>
        </w:rPr>
        <w:t xml:space="preserve"> </w:t>
      </w:r>
      <w:r w:rsidR="009E7955">
        <w:rPr>
          <w:rFonts w:ascii="Arial" w:hAnsi="Arial" w:cs="Arial" w:hint="eastAsia"/>
          <w:kern w:val="0"/>
          <w:sz w:val="20"/>
          <w:szCs w:val="20"/>
          <w:lang w:val="en-US" w:eastAsia="ja-JP"/>
          <w14:ligatures w14:val="none"/>
        </w:rPr>
        <w:t>We</w:t>
      </w:r>
      <w:r w:rsidR="00892B33" w:rsidRPr="00892B33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9E7955">
        <w:rPr>
          <w:rFonts w:ascii="Arial" w:hAnsi="Arial" w:cs="Arial" w:hint="eastAsia"/>
          <w:kern w:val="0"/>
          <w:sz w:val="20"/>
          <w:szCs w:val="20"/>
          <w:lang w:val="en-US" w:eastAsia="ja-JP"/>
          <w14:ligatures w14:val="none"/>
        </w:rPr>
        <w:t xml:space="preserve">first </w:t>
      </w:r>
      <w:r w:rsidR="00892B33" w:rsidRPr="00892B33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>evaluated the inflammatory response</w:t>
      </w:r>
      <w:r w:rsidR="00682F15">
        <w:rPr>
          <w:rFonts w:ascii="Arial" w:hAnsi="Arial" w:cs="Arial" w:hint="eastAsia"/>
          <w:kern w:val="0"/>
          <w:sz w:val="20"/>
          <w:szCs w:val="20"/>
          <w:lang w:val="en-US" w:eastAsia="ja-JP"/>
          <w14:ligatures w14:val="none"/>
        </w:rPr>
        <w:t>s</w:t>
      </w:r>
      <w:r w:rsidR="009E7955">
        <w:rPr>
          <w:rFonts w:ascii="Arial" w:hAnsi="Arial" w:cs="Arial" w:hint="eastAsia"/>
          <w:kern w:val="0"/>
          <w:sz w:val="20"/>
          <w:szCs w:val="20"/>
          <w:lang w:val="en-US" w:eastAsia="ja-JP"/>
          <w14:ligatures w14:val="none"/>
        </w:rPr>
        <w:t xml:space="preserve"> of the </w:t>
      </w:r>
      <w:proofErr w:type="spellStart"/>
      <w:r w:rsidR="009E7955">
        <w:rPr>
          <w:rFonts w:ascii="Arial" w:hAnsi="Arial" w:cs="Arial" w:hint="eastAsia"/>
          <w:kern w:val="0"/>
          <w:sz w:val="20"/>
          <w:szCs w:val="20"/>
          <w:lang w:val="en-US" w:eastAsia="ja-JP"/>
          <w14:ligatures w14:val="none"/>
        </w:rPr>
        <w:t>hiMCS</w:t>
      </w:r>
      <w:proofErr w:type="spellEnd"/>
      <w:r w:rsidR="009E7955">
        <w:rPr>
          <w:rFonts w:ascii="Arial" w:hAnsi="Arial" w:cs="Arial" w:hint="eastAsia"/>
          <w:kern w:val="0"/>
          <w:sz w:val="20"/>
          <w:szCs w:val="20"/>
          <w:lang w:val="en-US" w:eastAsia="ja-JP"/>
          <w14:ligatures w14:val="none"/>
        </w:rPr>
        <w:t xml:space="preserve">-BBB models </w:t>
      </w:r>
      <w:r w:rsidR="00682F15" w:rsidRPr="00682F15">
        <w:rPr>
          <w:rFonts w:ascii="Arial" w:hAnsi="Arial" w:cs="Arial"/>
          <w:kern w:val="0"/>
          <w:sz w:val="20"/>
          <w:szCs w:val="20"/>
          <w:lang w:eastAsia="ja-JP"/>
          <w14:ligatures w14:val="none"/>
        </w:rPr>
        <w:t>upon stimulation with the</w:t>
      </w:r>
      <w:r w:rsidR="009E7955">
        <w:rPr>
          <w:rFonts w:ascii="Arial" w:hAnsi="Arial" w:cs="Arial" w:hint="eastAsia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9E7955" w:rsidRPr="00892B33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>pro-inflammatory cytokines TNF-α and IFN-γ</w:t>
      </w:r>
      <w:r w:rsidR="00892B33" w:rsidRPr="00892B33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 xml:space="preserve">. </w:t>
      </w:r>
      <w:r w:rsidR="00682F15" w:rsidRPr="00682F15">
        <w:rPr>
          <w:rFonts w:ascii="Arial" w:hAnsi="Arial" w:cs="Arial"/>
          <w:kern w:val="0"/>
          <w:sz w:val="20"/>
          <w:szCs w:val="20"/>
          <w:lang w:eastAsia="ja-JP"/>
          <w14:ligatures w14:val="none"/>
        </w:rPr>
        <w:t>Cytokine exposure markedly</w:t>
      </w:r>
      <w:r w:rsidR="00B61654">
        <w:rPr>
          <w:rFonts w:ascii="Arial" w:hAnsi="Arial" w:cs="Arial"/>
          <w:kern w:val="0"/>
          <w:sz w:val="20"/>
          <w:szCs w:val="20"/>
          <w:lang w:eastAsia="ja-JP"/>
          <w14:ligatures w14:val="none"/>
        </w:rPr>
        <w:t xml:space="preserve"> </w:t>
      </w:r>
      <w:r w:rsidR="00682F15">
        <w:rPr>
          <w:rFonts w:ascii="Arial" w:hAnsi="Arial" w:cs="Arial" w:hint="eastAsia"/>
          <w:kern w:val="0"/>
          <w:sz w:val="20"/>
          <w:szCs w:val="20"/>
          <w:lang w:val="en-US" w:eastAsia="ja-JP"/>
          <w14:ligatures w14:val="none"/>
        </w:rPr>
        <w:t>induced</w:t>
      </w:r>
      <w:r w:rsidR="00682F15" w:rsidRPr="00892B33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892B33" w:rsidRPr="00892B33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 xml:space="preserve">VCAM-1 and E-selectin expression at both mRNA and protein levels. </w:t>
      </w:r>
      <w:r w:rsidR="00682F15">
        <w:rPr>
          <w:rFonts w:ascii="Arial" w:hAnsi="Arial" w:cs="Arial" w:hint="eastAsia"/>
          <w:kern w:val="0"/>
          <w:sz w:val="20"/>
          <w:szCs w:val="20"/>
          <w:lang w:val="en-US" w:eastAsia="ja-JP"/>
          <w14:ligatures w14:val="none"/>
        </w:rPr>
        <w:t>Next</w:t>
      </w:r>
      <w:r w:rsidR="00892B33" w:rsidRPr="00892B33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 xml:space="preserve">, we performed cell adhesion assays </w:t>
      </w:r>
      <w:r w:rsidR="00AA2301" w:rsidRPr="00630CF5">
        <w:rPr>
          <w:rFonts w:ascii="Arial" w:eastAsia="MS Mincho" w:hAnsi="Arial" w:cs="Arial"/>
          <w:kern w:val="0"/>
          <w:sz w:val="20"/>
          <w:szCs w:val="20"/>
          <w:lang w:val="en-US" w:eastAsia="ja-JP"/>
          <w14:ligatures w14:val="none"/>
        </w:rPr>
        <w:t>using two representative immune cell lines</w:t>
      </w:r>
      <w:r w:rsidR="00AA2301">
        <w:rPr>
          <w:rFonts w:ascii="Arial" w:eastAsia="MS Mincho" w:hAnsi="Arial" w:cs="Arial" w:hint="eastAsia"/>
          <w:kern w:val="0"/>
          <w:sz w:val="20"/>
          <w:szCs w:val="20"/>
          <w:lang w:val="en-US" w:eastAsia="ja-JP"/>
          <w14:ligatures w14:val="none"/>
        </w:rPr>
        <w:t xml:space="preserve">: </w:t>
      </w:r>
      <w:r w:rsidR="00AA2301" w:rsidRPr="00630CF5">
        <w:rPr>
          <w:rFonts w:ascii="Arial" w:eastAsia="MS Mincho" w:hAnsi="Arial" w:cs="Arial"/>
          <w:kern w:val="0"/>
          <w:sz w:val="20"/>
          <w:szCs w:val="20"/>
          <w:lang w:val="en-US" w:eastAsia="ja-JP"/>
          <w14:ligatures w14:val="none"/>
        </w:rPr>
        <w:t>THP-1 (monocyt</w:t>
      </w:r>
      <w:r w:rsidR="00AA2301">
        <w:rPr>
          <w:rFonts w:ascii="Arial" w:eastAsia="MS Mincho" w:hAnsi="Arial" w:cs="Arial" w:hint="eastAsia"/>
          <w:kern w:val="0"/>
          <w:sz w:val="20"/>
          <w:szCs w:val="20"/>
          <w:lang w:val="en-US" w:eastAsia="ja-JP"/>
          <w14:ligatures w14:val="none"/>
        </w:rPr>
        <w:t>e</w:t>
      </w:r>
      <w:r w:rsidR="00AA2301" w:rsidRPr="00630CF5">
        <w:rPr>
          <w:rFonts w:ascii="Arial" w:eastAsia="MS Mincho" w:hAnsi="Arial" w:cs="Arial"/>
          <w:kern w:val="0"/>
          <w:sz w:val="20"/>
          <w:szCs w:val="20"/>
          <w:lang w:val="en-US" w:eastAsia="ja-JP"/>
          <w14:ligatures w14:val="none"/>
        </w:rPr>
        <w:t xml:space="preserve">) and </w:t>
      </w:r>
      <w:proofErr w:type="spellStart"/>
      <w:r w:rsidR="00AA2301" w:rsidRPr="00630CF5">
        <w:rPr>
          <w:rFonts w:ascii="Arial" w:eastAsia="MS Mincho" w:hAnsi="Arial" w:cs="Arial"/>
          <w:kern w:val="0"/>
          <w:sz w:val="20"/>
          <w:szCs w:val="20"/>
          <w:lang w:val="en-US" w:eastAsia="ja-JP"/>
          <w14:ligatures w14:val="none"/>
        </w:rPr>
        <w:t>Jurkat</w:t>
      </w:r>
      <w:proofErr w:type="spellEnd"/>
      <w:r w:rsidR="00AA2301" w:rsidRPr="00630CF5">
        <w:rPr>
          <w:rFonts w:ascii="Arial" w:eastAsia="MS Mincho" w:hAnsi="Arial" w:cs="Arial"/>
          <w:kern w:val="0"/>
          <w:sz w:val="20"/>
          <w:szCs w:val="20"/>
          <w:lang w:val="en-US" w:eastAsia="ja-JP"/>
          <w14:ligatures w14:val="none"/>
        </w:rPr>
        <w:t xml:space="preserve"> (T lymphocyt</w:t>
      </w:r>
      <w:r w:rsidR="00682F15">
        <w:rPr>
          <w:rFonts w:ascii="Arial" w:eastAsia="MS Mincho" w:hAnsi="Arial" w:cs="Arial" w:hint="eastAsia"/>
          <w:kern w:val="0"/>
          <w:sz w:val="20"/>
          <w:szCs w:val="20"/>
          <w:lang w:val="en-US" w:eastAsia="ja-JP"/>
          <w14:ligatures w14:val="none"/>
        </w:rPr>
        <w:t>e</w:t>
      </w:r>
      <w:r w:rsidR="00AA2301" w:rsidRPr="00630CF5">
        <w:rPr>
          <w:rFonts w:ascii="Arial" w:eastAsia="MS Mincho" w:hAnsi="Arial" w:cs="Arial"/>
          <w:kern w:val="0"/>
          <w:sz w:val="20"/>
          <w:szCs w:val="20"/>
          <w:lang w:val="en-US" w:eastAsia="ja-JP"/>
          <w14:ligatures w14:val="none"/>
        </w:rPr>
        <w:t>)</w:t>
      </w:r>
      <w:r w:rsidR="00AA2301">
        <w:rPr>
          <w:rFonts w:ascii="Arial" w:eastAsia="MS Mincho" w:hAnsi="Arial" w:cs="Arial" w:hint="eastAsia"/>
          <w:kern w:val="0"/>
          <w:sz w:val="20"/>
          <w:szCs w:val="20"/>
          <w:lang w:val="en-US" w:eastAsia="ja-JP"/>
          <w14:ligatures w14:val="none"/>
        </w:rPr>
        <w:t xml:space="preserve"> cells.</w:t>
      </w:r>
      <w:r w:rsidR="00892B33" w:rsidRPr="00AA2301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AA2301">
        <w:rPr>
          <w:rFonts w:ascii="Arial" w:hAnsi="Arial" w:cs="Arial" w:hint="eastAsia"/>
          <w:kern w:val="0"/>
          <w:sz w:val="20"/>
          <w:szCs w:val="20"/>
          <w:lang w:val="en-US" w:eastAsia="ja-JP"/>
          <w14:ligatures w14:val="none"/>
        </w:rPr>
        <w:t xml:space="preserve">The results </w:t>
      </w:r>
      <w:r w:rsidR="00892B33" w:rsidRPr="00AA2301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>sho</w:t>
      </w:r>
      <w:r w:rsidR="00892B33" w:rsidRPr="00892B33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>w</w:t>
      </w:r>
      <w:r w:rsidR="00AA2301">
        <w:rPr>
          <w:rFonts w:ascii="Arial" w:hAnsi="Arial" w:cs="Arial" w:hint="eastAsia"/>
          <w:kern w:val="0"/>
          <w:sz w:val="20"/>
          <w:szCs w:val="20"/>
          <w:lang w:val="en-US" w:eastAsia="ja-JP"/>
          <w14:ligatures w14:val="none"/>
        </w:rPr>
        <w:t>ed</w:t>
      </w:r>
      <w:r w:rsidR="00892B33" w:rsidRPr="00892B33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 xml:space="preserve"> that the number of</w:t>
      </w:r>
      <w:r w:rsidR="002C1E4C">
        <w:rPr>
          <w:rFonts w:ascii="Arial" w:hAnsi="Arial" w:cs="Arial" w:hint="eastAsia"/>
          <w:kern w:val="0"/>
          <w:sz w:val="20"/>
          <w:szCs w:val="20"/>
          <w:lang w:val="en-US" w:eastAsia="ja-JP"/>
          <w14:ligatures w14:val="none"/>
        </w:rPr>
        <w:t xml:space="preserve"> cells </w:t>
      </w:r>
      <w:r w:rsidR="00892B33" w:rsidRPr="00892B33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 xml:space="preserve">adhering to </w:t>
      </w:r>
      <w:r w:rsidR="00682F15" w:rsidRPr="00682F15">
        <w:rPr>
          <w:rFonts w:ascii="Arial" w:eastAsia="Calibri" w:hAnsi="Arial" w:cs="Arial"/>
          <w:kern w:val="0"/>
          <w:sz w:val="20"/>
          <w:szCs w:val="20"/>
          <w:lang w:eastAsia="ja-JP"/>
          <w14:ligatures w14:val="none"/>
        </w:rPr>
        <w:t xml:space="preserve">cytokine-treated </w:t>
      </w:r>
      <w:proofErr w:type="spellStart"/>
      <w:r w:rsidR="00682F15" w:rsidRPr="00682F15">
        <w:rPr>
          <w:rFonts w:ascii="Arial" w:eastAsia="Calibri" w:hAnsi="Arial" w:cs="Arial"/>
          <w:kern w:val="0"/>
          <w:sz w:val="20"/>
          <w:szCs w:val="20"/>
          <w:lang w:eastAsia="ja-JP"/>
          <w14:ligatures w14:val="none"/>
        </w:rPr>
        <w:t>hiMCS</w:t>
      </w:r>
      <w:proofErr w:type="spellEnd"/>
      <w:r w:rsidR="00682F15" w:rsidRPr="00682F15">
        <w:rPr>
          <w:rFonts w:ascii="Arial" w:eastAsia="Calibri" w:hAnsi="Arial" w:cs="Arial"/>
          <w:kern w:val="0"/>
          <w:sz w:val="20"/>
          <w:szCs w:val="20"/>
          <w:lang w:eastAsia="ja-JP"/>
          <w14:ligatures w14:val="none"/>
        </w:rPr>
        <w:t xml:space="preserve">-BBB models </w:t>
      </w:r>
      <w:r w:rsidR="00892B33" w:rsidRPr="00892B33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>increased by 23.7- and 26.1-fold, respectively</w:t>
      </w:r>
      <w:r w:rsidR="00682F15">
        <w:rPr>
          <w:rFonts w:ascii="Arial" w:hAnsi="Arial" w:cs="Arial" w:hint="eastAsia"/>
          <w:kern w:val="0"/>
          <w:sz w:val="20"/>
          <w:szCs w:val="20"/>
          <w:lang w:val="en-US" w:eastAsia="ja-JP"/>
          <w14:ligatures w14:val="none"/>
        </w:rPr>
        <w:t xml:space="preserve">, </w:t>
      </w:r>
      <w:r w:rsidR="00682F15" w:rsidRPr="00682F15">
        <w:rPr>
          <w:rFonts w:ascii="Arial" w:hAnsi="Arial" w:cs="Arial"/>
          <w:kern w:val="0"/>
          <w:sz w:val="20"/>
          <w:szCs w:val="20"/>
          <w:lang w:eastAsia="ja-JP"/>
          <w14:ligatures w14:val="none"/>
        </w:rPr>
        <w:t>compared with untreated controls.</w:t>
      </w:r>
      <w:r w:rsidR="00892B33" w:rsidRPr="00892B33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 xml:space="preserve"> Furthermore, </w:t>
      </w:r>
      <w:r w:rsidR="00DB33D7" w:rsidRPr="00DB33D7">
        <w:rPr>
          <w:rFonts w:ascii="Arial" w:hAnsi="Arial" w:cs="Arial"/>
          <w:kern w:val="0"/>
          <w:sz w:val="20"/>
          <w:szCs w:val="20"/>
          <w:lang w:val="en-US" w:eastAsia="ja-JP"/>
          <w14:ligatures w14:val="none"/>
        </w:rPr>
        <w:t>to evaluate the model’s applicability for drug evaluation, we employed natalizumab (20 ng/mL) and JPH203 (50 µM)</w:t>
      </w:r>
      <w:r w:rsidR="00892B33" w:rsidRPr="00892B33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 xml:space="preserve">. </w:t>
      </w:r>
      <w:r w:rsidR="002C1E4C">
        <w:rPr>
          <w:rFonts w:ascii="Arial" w:hAnsi="Arial" w:cs="Arial" w:hint="eastAsia"/>
          <w:kern w:val="0"/>
          <w:sz w:val="20"/>
          <w:szCs w:val="20"/>
          <w:lang w:val="en-US" w:eastAsia="ja-JP"/>
          <w14:ligatures w14:val="none"/>
        </w:rPr>
        <w:t>The adhesion assay results showed that b</w:t>
      </w:r>
      <w:r w:rsidR="00892B33" w:rsidRPr="00892B33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 xml:space="preserve">oth drugs </w:t>
      </w:r>
      <w:r w:rsidR="00DB33D7">
        <w:rPr>
          <w:rFonts w:ascii="Arial" w:hAnsi="Arial" w:cs="Arial" w:hint="eastAsia"/>
          <w:kern w:val="0"/>
          <w:sz w:val="20"/>
          <w:szCs w:val="20"/>
          <w:lang w:val="en-US" w:eastAsia="ja-JP"/>
          <w14:ligatures w14:val="none"/>
        </w:rPr>
        <w:t xml:space="preserve">significantly </w:t>
      </w:r>
      <w:r w:rsidR="00892B33" w:rsidRPr="00892B33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 xml:space="preserve">suppressed inflammation-induced immune cell adhesion to 0.22- and 0.097-fold </w:t>
      </w:r>
      <w:r w:rsidR="00DB33D7" w:rsidRPr="00DB33D7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>of the control levels (IgG4 or vehicle), respectively.</w:t>
      </w:r>
    </w:p>
    <w:p w14:paraId="21B0E6A8" w14:textId="77777777" w:rsidR="005E044A" w:rsidRPr="00014E40" w:rsidRDefault="005E044A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:lang w:val="en-US" w:eastAsia="ja-JP"/>
          <w14:ligatures w14:val="none"/>
        </w:rPr>
      </w:pPr>
    </w:p>
    <w:p w14:paraId="0FBE3FE9" w14:textId="1FFF84F3" w:rsidR="00934998" w:rsidRDefault="00B8473A" w:rsidP="00934998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34998" w:rsidRPr="0093499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Our results demonstrate that the </w:t>
      </w:r>
      <w:proofErr w:type="spellStart"/>
      <w:r w:rsidR="00934998" w:rsidRPr="0093499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hiMCS</w:t>
      </w:r>
      <w:proofErr w:type="spellEnd"/>
      <w:r w:rsidR="00934998" w:rsidRPr="0093499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-BBB</w:t>
      </w:r>
      <w:r w:rsidR="00934998" w:rsidRPr="00934998" w:rsidDel="00D86C9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934998" w:rsidRPr="0093499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models </w:t>
      </w:r>
      <w:r w:rsidR="002C1E4C" w:rsidRPr="0093499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recapitulate</w:t>
      </w:r>
      <w:r w:rsidR="002C1E4C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DB33D7" w:rsidRPr="00DB33D7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inflammation-induced immune cell adhesion to the BBB</w:t>
      </w:r>
      <w:r w:rsidR="002C1E4C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, </w:t>
      </w:r>
      <w:r w:rsidR="00682F15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which can be </w:t>
      </w:r>
      <w:r w:rsidR="00682F15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suppressed</w:t>
      </w:r>
      <w:r w:rsidR="00682F15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by </w:t>
      </w:r>
      <w:r w:rsidR="00682F15" w:rsidRPr="00892B33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>natalizumab</w:t>
      </w:r>
      <w:r w:rsidR="00682F15">
        <w:rPr>
          <w:rFonts w:ascii="Arial" w:hAnsi="Arial" w:cs="Arial" w:hint="eastAsia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682F15" w:rsidRPr="00892B33">
        <w:rPr>
          <w:rFonts w:ascii="Arial" w:eastAsia="Calibri" w:hAnsi="Arial" w:cs="Arial"/>
          <w:kern w:val="0"/>
          <w:sz w:val="20"/>
          <w:szCs w:val="20"/>
          <w:lang w:val="en-US" w:eastAsia="ja-JP"/>
          <w14:ligatures w14:val="none"/>
        </w:rPr>
        <w:t>and JPH203</w:t>
      </w:r>
      <w:r w:rsidR="00934998" w:rsidRPr="0093499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. </w:t>
      </w:r>
      <w:r w:rsidR="00DB33D7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These findings suggest </w:t>
      </w:r>
      <w:r w:rsidR="00DB33D7" w:rsidRPr="00DB33D7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their </w:t>
      </w:r>
      <w:r w:rsidR="00DB33D7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applicability</w:t>
      </w:r>
      <w:r w:rsidR="00DB33D7" w:rsidRPr="00DB33D7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for modeling BBB inflammation and </w:t>
      </w:r>
      <w:r w:rsidR="001932C9" w:rsidRPr="001932C9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evaluating therapeutics targeting it.</w:t>
      </w:r>
    </w:p>
    <w:p w14:paraId="20BFAD35" w14:textId="77777777" w:rsidR="00934998" w:rsidRPr="00934998" w:rsidRDefault="00934998" w:rsidP="00934998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06CED471" w14:textId="77777777" w:rsidR="00610875" w:rsidRDefault="00C315D2" w:rsidP="00610875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</w:p>
    <w:p w14:paraId="25247B56" w14:textId="0714E5CB" w:rsidR="00610875" w:rsidRPr="00610875" w:rsidRDefault="00610875" w:rsidP="00610875">
      <w:pPr>
        <w:spacing w:after="0" w:line="240" w:lineRule="auto"/>
        <w:jc w:val="both"/>
        <w:rPr>
          <w:rFonts w:ascii="ＭＳ ゴシック" w:eastAsia="ＭＳ ゴシック" w:hAnsi="ＭＳ ゴシック" w:cs="ＭＳ ゴシック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lang w:val="en-US" w:eastAsia="ja-JP"/>
          <w14:ligatures w14:val="none"/>
        </w:rPr>
        <w:t>(</w:t>
      </w:r>
      <w:r>
        <w:rPr>
          <w:rFonts w:ascii="ＭＳ ゴシック" w:eastAsia="ＭＳ ゴシック" w:hAnsi="ＭＳ ゴシック" w:cs="ＭＳ ゴシック"/>
          <w:bCs/>
          <w:kern w:val="0"/>
          <w:sz w:val="20"/>
          <w:szCs w:val="20"/>
          <w:lang w:val="en-US" w:eastAsia="ja-JP"/>
          <w14:ligatures w14:val="none"/>
        </w:rPr>
        <w:t>1</w:t>
      </w:r>
      <w:r>
        <w:rPr>
          <w:rFonts w:ascii="Arial" w:eastAsia="Calibri" w:hAnsi="Arial" w:cs="Calibri"/>
          <w:bCs/>
          <w:kern w:val="0"/>
          <w:sz w:val="20"/>
          <w:szCs w:val="20"/>
          <w:lang w:eastAsia="ja-JP"/>
          <w14:ligatures w14:val="none"/>
        </w:rPr>
        <w:t xml:space="preserve">) </w:t>
      </w:r>
      <w:r w:rsidRPr="00610875">
        <w:rPr>
          <w:rFonts w:ascii="Arial" w:eastAsia="Calibri" w:hAnsi="Arial" w:cs="Calibri" w:hint="eastAsia"/>
          <w:bCs/>
          <w:kern w:val="0"/>
          <w:sz w:val="20"/>
          <w:szCs w:val="20"/>
          <w:lang w:eastAsia="ja-JP"/>
          <w14:ligatures w14:val="none"/>
        </w:rPr>
        <w:t>Patabendige et al.</w:t>
      </w:r>
      <w:r>
        <w:rPr>
          <w:rFonts w:ascii="ＭＳ ゴシック" w:eastAsia="ＭＳ ゴシック" w:hAnsi="ＭＳ ゴシック" w:cs="ＭＳ ゴシック"/>
          <w:bCs/>
          <w:kern w:val="0"/>
          <w:sz w:val="20"/>
          <w:szCs w:val="20"/>
          <w:lang w:val="en-US" w:eastAsia="ja-JP"/>
          <w14:ligatures w14:val="none"/>
        </w:rPr>
        <w:t xml:space="preserve">, </w:t>
      </w:r>
      <w:proofErr w:type="spellStart"/>
      <w:r w:rsidRPr="00610875">
        <w:rPr>
          <w:rFonts w:ascii="Arial" w:eastAsia="Calibri" w:hAnsi="Arial" w:cs="Calibri" w:hint="eastAsia"/>
          <w:bCs/>
          <w:kern w:val="0"/>
          <w:sz w:val="20"/>
          <w:szCs w:val="20"/>
          <w:lang w:eastAsia="ja-JP"/>
          <w14:ligatures w14:val="none"/>
        </w:rPr>
        <w:t>Biochem</w:t>
      </w:r>
      <w:proofErr w:type="spellEnd"/>
      <w:r w:rsidRPr="00610875">
        <w:rPr>
          <w:rFonts w:ascii="Arial" w:eastAsia="Calibri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Soc Trans.</w:t>
      </w:r>
      <w:r>
        <w:rPr>
          <w:rFonts w:ascii="ＭＳ ゴシック" w:eastAsia="ＭＳ ゴシック" w:hAnsi="ＭＳ ゴシック" w:cs="ＭＳ ゴシック"/>
          <w:bCs/>
          <w:kern w:val="0"/>
          <w:sz w:val="20"/>
          <w:szCs w:val="20"/>
          <w:lang w:val="en-US" w:eastAsia="ja-JP"/>
          <w14:ligatures w14:val="none"/>
        </w:rPr>
        <w:t xml:space="preserve">, </w:t>
      </w:r>
      <w:r w:rsidRPr="00610875">
        <w:rPr>
          <w:rFonts w:ascii="Arial" w:eastAsia="Calibri" w:hAnsi="Arial" w:cs="Calibri" w:hint="eastAsia"/>
          <w:bCs/>
          <w:kern w:val="0"/>
          <w:sz w:val="20"/>
          <w:szCs w:val="20"/>
          <w:lang w:eastAsia="ja-JP"/>
          <w14:ligatures w14:val="none"/>
        </w:rPr>
        <w:t>2023</w:t>
      </w:r>
      <w:r>
        <w:rPr>
          <w:rFonts w:ascii="ＭＳ ゴシック" w:eastAsia="ＭＳ ゴシック" w:hAnsi="ＭＳ ゴシック" w:cs="ＭＳ ゴシック"/>
          <w:bCs/>
          <w:kern w:val="0"/>
          <w:sz w:val="20"/>
          <w:szCs w:val="20"/>
          <w:lang w:val="en-US" w:eastAsia="ja-JP"/>
          <w14:ligatures w14:val="none"/>
        </w:rPr>
        <w:t xml:space="preserve">, </w:t>
      </w:r>
      <w:r w:rsidRPr="00610875">
        <w:rPr>
          <w:rFonts w:ascii="Arial" w:eastAsia="Calibri" w:hAnsi="Arial" w:cs="Calibri" w:hint="eastAsia"/>
          <w:bCs/>
          <w:kern w:val="0"/>
          <w:sz w:val="20"/>
          <w:szCs w:val="20"/>
          <w:lang w:eastAsia="ja-JP"/>
          <w14:ligatures w14:val="none"/>
        </w:rPr>
        <w:t>51(2):613-626.</w:t>
      </w:r>
    </w:p>
    <w:p w14:paraId="24E8A696" w14:textId="69333C2F" w:rsidR="00610875" w:rsidRPr="00610875" w:rsidRDefault="00610875" w:rsidP="00610875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lang w:eastAsia="ja-JP"/>
          <w14:ligatures w14:val="none"/>
        </w:rPr>
        <w:t>(</w:t>
      </w:r>
      <w:r w:rsidRPr="00610875">
        <w:rPr>
          <w:rFonts w:ascii="Arial" w:eastAsia="Calibri" w:hAnsi="Arial" w:cs="Calibri" w:hint="eastAsia"/>
          <w:bCs/>
          <w:kern w:val="0"/>
          <w:sz w:val="20"/>
          <w:szCs w:val="20"/>
          <w:lang w:eastAsia="ja-JP"/>
          <w14:ligatures w14:val="none"/>
        </w:rPr>
        <w:t>2</w:t>
      </w:r>
      <w:r>
        <w:rPr>
          <w:rFonts w:ascii="Arial" w:eastAsia="Calibri" w:hAnsi="Arial" w:cs="Calibri"/>
          <w:bCs/>
          <w:kern w:val="0"/>
          <w:sz w:val="20"/>
          <w:szCs w:val="20"/>
          <w:lang w:eastAsia="ja-JP"/>
          <w14:ligatures w14:val="none"/>
        </w:rPr>
        <w:t xml:space="preserve">) </w:t>
      </w:r>
      <w:r w:rsidRPr="00610875">
        <w:rPr>
          <w:rFonts w:ascii="Arial" w:eastAsia="Calibri" w:hAnsi="Arial" w:cs="Calibri" w:hint="eastAsia"/>
          <w:bCs/>
          <w:kern w:val="0"/>
          <w:sz w:val="20"/>
          <w:szCs w:val="20"/>
          <w:lang w:eastAsia="ja-JP"/>
          <w14:ligatures w14:val="none"/>
        </w:rPr>
        <w:t>Kitamura et al.</w:t>
      </w:r>
      <w:r>
        <w:rPr>
          <w:rFonts w:ascii="ＭＳ ゴシック" w:eastAsia="ＭＳ ゴシック" w:hAnsi="ＭＳ ゴシック" w:cs="ＭＳ ゴシック"/>
          <w:bCs/>
          <w:kern w:val="0"/>
          <w:sz w:val="20"/>
          <w:szCs w:val="20"/>
          <w:lang w:val="en-US" w:eastAsia="ja-JP"/>
          <w14:ligatures w14:val="none"/>
        </w:rPr>
        <w:t xml:space="preserve">, </w:t>
      </w:r>
      <w:r w:rsidRPr="00610875">
        <w:rPr>
          <w:rFonts w:ascii="Arial" w:eastAsia="Calibri" w:hAnsi="Arial" w:cs="Calibri" w:hint="eastAsia"/>
          <w:bCs/>
          <w:kern w:val="0"/>
          <w:sz w:val="20"/>
          <w:szCs w:val="20"/>
          <w:lang w:eastAsia="ja-JP"/>
          <w14:ligatures w14:val="none"/>
        </w:rPr>
        <w:t>Biol Pharm Bull.</w:t>
      </w:r>
      <w:r>
        <w:rPr>
          <w:rFonts w:ascii="ＭＳ ゴシック" w:eastAsia="ＭＳ ゴシック" w:hAnsi="ＭＳ ゴシック" w:cs="ＭＳ ゴシック"/>
          <w:bCs/>
          <w:kern w:val="0"/>
          <w:sz w:val="20"/>
          <w:szCs w:val="20"/>
          <w:lang w:val="en-US" w:eastAsia="ja-JP"/>
          <w14:ligatures w14:val="none"/>
        </w:rPr>
        <w:t xml:space="preserve">, </w:t>
      </w:r>
      <w:r w:rsidRPr="00610875">
        <w:rPr>
          <w:rFonts w:ascii="Arial" w:eastAsia="Calibri" w:hAnsi="Arial" w:cs="Calibri" w:hint="eastAsia"/>
          <w:bCs/>
          <w:kern w:val="0"/>
          <w:sz w:val="20"/>
          <w:szCs w:val="20"/>
          <w:lang w:eastAsia="ja-JP"/>
          <w14:ligatures w14:val="none"/>
        </w:rPr>
        <w:t>2021</w:t>
      </w:r>
      <w:r>
        <w:rPr>
          <w:rFonts w:ascii="ＭＳ ゴシック" w:eastAsia="ＭＳ ゴシック" w:hAnsi="ＭＳ ゴシック" w:cs="ＭＳ ゴシック"/>
          <w:bCs/>
          <w:kern w:val="0"/>
          <w:sz w:val="20"/>
          <w:szCs w:val="20"/>
          <w:lang w:val="en-US" w:eastAsia="ja-JP"/>
          <w14:ligatures w14:val="none"/>
        </w:rPr>
        <w:t xml:space="preserve">, </w:t>
      </w:r>
      <w:r w:rsidRPr="00610875">
        <w:rPr>
          <w:rFonts w:ascii="Arial" w:eastAsia="Calibri" w:hAnsi="Arial" w:cs="Calibri" w:hint="eastAsia"/>
          <w:bCs/>
          <w:kern w:val="0"/>
          <w:sz w:val="20"/>
          <w:szCs w:val="20"/>
          <w:lang w:eastAsia="ja-JP"/>
          <w14:ligatures w14:val="none"/>
        </w:rPr>
        <w:t>44(7):984-991</w:t>
      </w:r>
    </w:p>
    <w:p w14:paraId="7D6E388F" w14:textId="25BF4541" w:rsidR="00113BB7" w:rsidRPr="009B1CBB" w:rsidRDefault="00113BB7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76597"/>
    <w:multiLevelType w:val="hybridMultilevel"/>
    <w:tmpl w:val="4B20781A"/>
    <w:lvl w:ilvl="0" w:tplc="A008C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1"/>
  </w:num>
  <w:num w:numId="2" w16cid:durableId="148689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14E40"/>
    <w:rsid w:val="000477D7"/>
    <w:rsid w:val="0005207E"/>
    <w:rsid w:val="00063A62"/>
    <w:rsid w:val="00065E6F"/>
    <w:rsid w:val="00104116"/>
    <w:rsid w:val="00107368"/>
    <w:rsid w:val="00113BB7"/>
    <w:rsid w:val="001619D9"/>
    <w:rsid w:val="001932C9"/>
    <w:rsid w:val="001941B0"/>
    <w:rsid w:val="001A4D44"/>
    <w:rsid w:val="001E598F"/>
    <w:rsid w:val="002017E6"/>
    <w:rsid w:val="00294059"/>
    <w:rsid w:val="002C1E4C"/>
    <w:rsid w:val="003206E4"/>
    <w:rsid w:val="00393ED8"/>
    <w:rsid w:val="003A6D5C"/>
    <w:rsid w:val="0048229D"/>
    <w:rsid w:val="004A51B6"/>
    <w:rsid w:val="00510CF8"/>
    <w:rsid w:val="005378AC"/>
    <w:rsid w:val="00575A29"/>
    <w:rsid w:val="005E044A"/>
    <w:rsid w:val="00600815"/>
    <w:rsid w:val="00601754"/>
    <w:rsid w:val="00610875"/>
    <w:rsid w:val="00630CF5"/>
    <w:rsid w:val="00682F15"/>
    <w:rsid w:val="006A34BE"/>
    <w:rsid w:val="006E13A6"/>
    <w:rsid w:val="006F3F1C"/>
    <w:rsid w:val="007141F2"/>
    <w:rsid w:val="00730D5E"/>
    <w:rsid w:val="00751A30"/>
    <w:rsid w:val="007557C1"/>
    <w:rsid w:val="007561D8"/>
    <w:rsid w:val="00763CB5"/>
    <w:rsid w:val="00795378"/>
    <w:rsid w:val="00796206"/>
    <w:rsid w:val="007A2405"/>
    <w:rsid w:val="007A7CD7"/>
    <w:rsid w:val="007C367E"/>
    <w:rsid w:val="00801451"/>
    <w:rsid w:val="008071C5"/>
    <w:rsid w:val="008565C7"/>
    <w:rsid w:val="00892B33"/>
    <w:rsid w:val="00906D34"/>
    <w:rsid w:val="00933DC9"/>
    <w:rsid w:val="00934998"/>
    <w:rsid w:val="00936D4C"/>
    <w:rsid w:val="009523F9"/>
    <w:rsid w:val="009650DF"/>
    <w:rsid w:val="009B1CBB"/>
    <w:rsid w:val="009E0FBA"/>
    <w:rsid w:val="009E7955"/>
    <w:rsid w:val="009F460A"/>
    <w:rsid w:val="009F5F15"/>
    <w:rsid w:val="00A0516D"/>
    <w:rsid w:val="00A7159E"/>
    <w:rsid w:val="00AA2301"/>
    <w:rsid w:val="00AB4498"/>
    <w:rsid w:val="00B06F9B"/>
    <w:rsid w:val="00B17A48"/>
    <w:rsid w:val="00B17DEC"/>
    <w:rsid w:val="00B23DAC"/>
    <w:rsid w:val="00B4721D"/>
    <w:rsid w:val="00B61654"/>
    <w:rsid w:val="00B8473A"/>
    <w:rsid w:val="00B84E7C"/>
    <w:rsid w:val="00C20844"/>
    <w:rsid w:val="00C21815"/>
    <w:rsid w:val="00C315D2"/>
    <w:rsid w:val="00C353D8"/>
    <w:rsid w:val="00C95FDC"/>
    <w:rsid w:val="00CC3A19"/>
    <w:rsid w:val="00CF5A91"/>
    <w:rsid w:val="00D02BB1"/>
    <w:rsid w:val="00D407DD"/>
    <w:rsid w:val="00D45A74"/>
    <w:rsid w:val="00D7428F"/>
    <w:rsid w:val="00DB33D7"/>
    <w:rsid w:val="00E00B22"/>
    <w:rsid w:val="00E97799"/>
    <w:rsid w:val="00EC3746"/>
    <w:rsid w:val="00F27B7B"/>
    <w:rsid w:val="00F539FB"/>
    <w:rsid w:val="00F85528"/>
    <w:rsid w:val="00FC0D79"/>
    <w:rsid w:val="00FE6113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9E79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y194036　海老澤　歩果</cp:lastModifiedBy>
  <cp:revision>2</cp:revision>
  <dcterms:created xsi:type="dcterms:W3CDTF">2025-07-19T12:29:00Z</dcterms:created>
  <dcterms:modified xsi:type="dcterms:W3CDTF">2025-07-19T12:29:00Z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