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F1B9" w14:textId="302D039E" w:rsidR="00C315D2" w:rsidRPr="00C315D2" w:rsidRDefault="003A2652" w:rsidP="5E2C5F31">
      <w:pPr>
        <w:rPr>
          <w:rFonts w:ascii="Arial" w:eastAsia="Calibri" w:hAnsi="Arial" w:cs="Calibri"/>
          <w:b/>
          <w:bCs/>
          <w:lang w:val="en-US"/>
        </w:rPr>
      </w:pPr>
      <w:r w:rsidRPr="003A2652">
        <w:rPr>
          <w:rFonts w:ascii="Arial" w:eastAsia="Calibri" w:hAnsi="Arial" w:cs="Calibri"/>
          <w:b/>
          <w:bCs/>
          <w:lang w:val="en-US"/>
        </w:rPr>
        <w:t xml:space="preserve">Artificial </w:t>
      </w:r>
      <w:r>
        <w:rPr>
          <w:rFonts w:ascii="Arial" w:eastAsia="Calibri" w:hAnsi="Arial" w:cs="Calibri"/>
          <w:b/>
          <w:bCs/>
          <w:lang w:val="en-US"/>
        </w:rPr>
        <w:t>I</w:t>
      </w:r>
      <w:r w:rsidRPr="003A2652">
        <w:rPr>
          <w:rFonts w:ascii="Arial" w:eastAsia="Calibri" w:hAnsi="Arial" w:cs="Calibri"/>
          <w:b/>
          <w:bCs/>
          <w:lang w:val="en-US"/>
        </w:rPr>
        <w:t xml:space="preserve">ntelligence-driven </w:t>
      </w:r>
      <w:r w:rsidR="004259DD">
        <w:rPr>
          <w:rFonts w:ascii="Arial" w:eastAsia="Calibri" w:hAnsi="Arial" w:cs="Calibri"/>
          <w:b/>
          <w:bCs/>
          <w:lang w:val="en-US"/>
        </w:rPr>
        <w:t>Design</w:t>
      </w:r>
      <w:r w:rsidRPr="003A2652">
        <w:rPr>
          <w:rFonts w:ascii="Arial" w:eastAsia="Calibri" w:hAnsi="Arial" w:cs="Calibri"/>
          <w:b/>
          <w:bCs/>
          <w:lang w:val="en-US"/>
        </w:rPr>
        <w:t xml:space="preserve"> of</w:t>
      </w:r>
      <w:r w:rsidRPr="003A2652">
        <w:rPr>
          <w:rFonts w:ascii="Arial" w:eastAsia="Calibri" w:hAnsi="Arial" w:cs="Calibri" w:hint="eastAsia"/>
          <w:b/>
          <w:bCs/>
          <w:lang w:val="en-US"/>
        </w:rPr>
        <w:t xml:space="preserve"> </w:t>
      </w:r>
      <w:r w:rsidR="00C71B40">
        <w:rPr>
          <w:rFonts w:ascii="Arial" w:eastAsia="Calibri" w:hAnsi="Arial" w:cs="Calibri"/>
          <w:b/>
          <w:bCs/>
          <w:lang w:val="en-US"/>
        </w:rPr>
        <w:t>Humanized</w:t>
      </w:r>
      <w:r w:rsidR="004259DD">
        <w:rPr>
          <w:rFonts w:ascii="Arial" w:eastAsia="Calibri" w:hAnsi="Arial" w:cs="Calibri"/>
          <w:b/>
          <w:bCs/>
          <w:lang w:val="en-US"/>
        </w:rPr>
        <w:t xml:space="preserve"> </w:t>
      </w:r>
      <w:r>
        <w:rPr>
          <w:rFonts w:ascii="Arial" w:eastAsia="Calibri" w:hAnsi="Arial" w:cs="Calibri"/>
          <w:b/>
          <w:bCs/>
          <w:lang w:val="en-US"/>
        </w:rPr>
        <w:t>A</w:t>
      </w:r>
      <w:r w:rsidRPr="003A2652">
        <w:rPr>
          <w:rFonts w:ascii="Arial" w:eastAsia="Calibri" w:hAnsi="Arial" w:cs="Calibri" w:hint="eastAsia"/>
          <w:b/>
          <w:bCs/>
          <w:lang w:val="en-US"/>
        </w:rPr>
        <w:t>ntibodies</w:t>
      </w:r>
      <w:r w:rsidRPr="003A2652">
        <w:rPr>
          <w:rFonts w:ascii="Arial" w:eastAsia="Calibri" w:hAnsi="Arial" w:cs="Calibri"/>
          <w:b/>
          <w:bCs/>
          <w:lang w:val="en-US"/>
        </w:rPr>
        <w:t xml:space="preserve"> for immunotherapy</w:t>
      </w:r>
    </w:p>
    <w:p w14:paraId="79141BD9" w14:textId="1BBCDBB1" w:rsidR="00C315D2" w:rsidRPr="00C315D2" w:rsidRDefault="005174D2" w:rsidP="00C315D2">
      <w:pPr>
        <w:rPr>
          <w:rFonts w:ascii="Arial" w:eastAsia="Calibri" w:hAnsi="Arial" w:cs="Calibri"/>
          <w:bCs/>
          <w:sz w:val="20"/>
          <w:szCs w:val="20"/>
        </w:rPr>
      </w:pPr>
      <w:r>
        <w:rPr>
          <w:rFonts w:ascii="Arial" w:eastAsia="Calibri" w:hAnsi="Arial" w:cs="Calibri"/>
          <w:b/>
          <w:sz w:val="20"/>
          <w:szCs w:val="20"/>
          <w:u w:val="single"/>
        </w:rPr>
        <w:t>Qi Zhao</w:t>
      </w:r>
      <w:r w:rsidR="00C315D2" w:rsidRPr="00C315D2">
        <w:rPr>
          <w:rFonts w:ascii="Arial" w:eastAsia="Calibri" w:hAnsi="Arial" w:cs="Calibri"/>
          <w:b/>
          <w:sz w:val="20"/>
          <w:szCs w:val="20"/>
          <w:u w:val="single"/>
          <w:vertAlign w:val="superscript"/>
        </w:rPr>
        <w:t>1</w:t>
      </w:r>
      <w:r w:rsidR="00C315D2" w:rsidRPr="00C315D2">
        <w:rPr>
          <w:rFonts w:ascii="Arial" w:eastAsia="Calibri" w:hAnsi="Arial" w:cs="Calibri"/>
          <w:bCs/>
          <w:sz w:val="20"/>
          <w:szCs w:val="20"/>
        </w:rPr>
        <w:t xml:space="preserve">, </w:t>
      </w:r>
      <w:r>
        <w:rPr>
          <w:rFonts w:ascii="Arial" w:eastAsia="Calibri" w:hAnsi="Arial" w:cs="Calibri"/>
          <w:bCs/>
          <w:sz w:val="20"/>
          <w:szCs w:val="20"/>
        </w:rPr>
        <w:t>Defang Ouyang</w:t>
      </w:r>
      <w:r w:rsidR="00C315D2" w:rsidRPr="00C315D2">
        <w:rPr>
          <w:rFonts w:ascii="Arial" w:eastAsia="Calibri" w:hAnsi="Arial" w:cs="Calibri"/>
          <w:bCs/>
          <w:sz w:val="20"/>
          <w:szCs w:val="20"/>
          <w:vertAlign w:val="superscript"/>
        </w:rPr>
        <w:t>1,2</w:t>
      </w:r>
      <w:r w:rsidR="00C315D2" w:rsidRPr="00C315D2">
        <w:rPr>
          <w:rFonts w:ascii="Arial" w:eastAsia="Calibri" w:hAnsi="Arial" w:cs="Calibri"/>
          <w:bCs/>
          <w:sz w:val="20"/>
          <w:szCs w:val="20"/>
        </w:rPr>
        <w:t xml:space="preserve">. </w:t>
      </w:r>
    </w:p>
    <w:p w14:paraId="58DCB053" w14:textId="56B12FA0" w:rsidR="003A2652" w:rsidRPr="003A2652" w:rsidRDefault="00AC324A" w:rsidP="003A2652">
      <w:pPr>
        <w:rPr>
          <w:rFonts w:ascii="Arial" w:eastAsia="Calibri" w:hAnsi="Arial" w:cs="Calibri"/>
          <w:bCs/>
          <w:sz w:val="20"/>
          <w:szCs w:val="20"/>
          <w:lang w:val="en-AU" w:eastAsia="en-US"/>
        </w:rPr>
      </w:pPr>
      <w:r w:rsidRPr="00AC324A">
        <w:rPr>
          <w:rFonts w:ascii="Arial" w:eastAsia="Calibri" w:hAnsi="Arial" w:cs="Calibri"/>
          <w:bCs/>
          <w:sz w:val="20"/>
          <w:szCs w:val="20"/>
          <w:vertAlign w:val="superscript"/>
          <w:lang w:val="en-AU" w:eastAsia="en-US"/>
        </w:rPr>
        <w:t>1</w:t>
      </w:r>
      <w:r w:rsidR="003A2652" w:rsidRPr="003A2652">
        <w:rPr>
          <w:rFonts w:ascii="Arial" w:eastAsia="Calibri" w:hAnsi="Arial" w:cs="Calibri"/>
          <w:bCs/>
          <w:sz w:val="20"/>
          <w:szCs w:val="20"/>
          <w:lang w:val="en-AU" w:eastAsia="en-US"/>
        </w:rPr>
        <w:t xml:space="preserve">Faculty of Health Sciences, University of Macau, Taipa, Macau SAR, </w:t>
      </w:r>
      <w:proofErr w:type="gramStart"/>
      <w:r w:rsidR="003A2652" w:rsidRPr="003A2652">
        <w:rPr>
          <w:rFonts w:ascii="Arial" w:eastAsia="Calibri" w:hAnsi="Arial" w:cs="Calibri"/>
          <w:bCs/>
          <w:sz w:val="20"/>
          <w:szCs w:val="20"/>
          <w:lang w:val="en-AU" w:eastAsia="en-US"/>
        </w:rPr>
        <w:t>China;</w:t>
      </w:r>
      <w:proofErr w:type="gramEnd"/>
    </w:p>
    <w:p w14:paraId="7909765E" w14:textId="667CF247" w:rsidR="003A2652" w:rsidRPr="003A2652" w:rsidRDefault="00AC324A" w:rsidP="003A2652">
      <w:pPr>
        <w:rPr>
          <w:rFonts w:ascii="Arial" w:eastAsia="Calibri" w:hAnsi="Arial" w:cs="Calibri"/>
          <w:bCs/>
          <w:sz w:val="20"/>
          <w:szCs w:val="20"/>
          <w:lang w:val="en-AU" w:eastAsia="en-US"/>
        </w:rPr>
      </w:pPr>
      <w:r w:rsidRPr="00AC324A">
        <w:rPr>
          <w:rFonts w:ascii="Arial" w:eastAsia="Calibri" w:hAnsi="Arial" w:cs="Calibri"/>
          <w:bCs/>
          <w:sz w:val="20"/>
          <w:szCs w:val="20"/>
          <w:vertAlign w:val="superscript"/>
          <w:lang w:val="en-AU" w:eastAsia="en-US"/>
        </w:rPr>
        <w:t>2</w:t>
      </w:r>
      <w:r w:rsidR="003A2652" w:rsidRPr="003A2652">
        <w:rPr>
          <w:rFonts w:ascii="Arial" w:eastAsia="Calibri" w:hAnsi="Arial" w:cs="Calibri"/>
          <w:bCs/>
          <w:sz w:val="20"/>
          <w:szCs w:val="20"/>
          <w:lang w:val="en-AU" w:eastAsia="en-US"/>
        </w:rPr>
        <w:t>Institute of Chinese Medical Sciences, University of Macau, Macau SAR, China.</w:t>
      </w:r>
    </w:p>
    <w:p w14:paraId="3307CE3C" w14:textId="77777777" w:rsidR="00BA69DF" w:rsidRDefault="00BA69DF" w:rsidP="00C315D2">
      <w:pPr>
        <w:jc w:val="both"/>
        <w:rPr>
          <w:rFonts w:ascii="Arial" w:eastAsia="Calibri" w:hAnsi="Arial" w:cs="Calibri"/>
          <w:b/>
          <w:sz w:val="20"/>
          <w:szCs w:val="20"/>
        </w:rPr>
      </w:pPr>
    </w:p>
    <w:p w14:paraId="7EDBEB10" w14:textId="5B1A77D1" w:rsidR="00BA69DF" w:rsidRPr="007D075D" w:rsidRDefault="00C535C9" w:rsidP="007D075D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8024C6">
        <w:rPr>
          <w:rFonts w:ascii="Arial" w:eastAsia="Calibri" w:hAnsi="Arial" w:cs="Arial"/>
          <w:b/>
          <w:sz w:val="20"/>
          <w:szCs w:val="20"/>
        </w:rPr>
        <w:t xml:space="preserve">Background and aims. </w:t>
      </w:r>
      <w:r w:rsidR="00443E27" w:rsidRPr="007D075D">
        <w:rPr>
          <w:rFonts w:ascii="Arial" w:hAnsi="Arial" w:cs="Arial"/>
          <w:sz w:val="20"/>
          <w:szCs w:val="20"/>
        </w:rPr>
        <w:t>Anti-B7-H3 monoclonal antibody (mAb) o</w:t>
      </w:r>
      <w:r w:rsidR="00443E27" w:rsidRPr="007D075D">
        <w:rPr>
          <w:rFonts w:ascii="Arial" w:hAnsi="Arial" w:cs="Arial"/>
          <w:sz w:val="20"/>
          <w:szCs w:val="20"/>
        </w:rPr>
        <w:t>mburtamab has been primarily investigated for central nervous system (CNS) tumors and neuroblastoma.</w:t>
      </w:r>
      <w:r w:rsidR="00443E27" w:rsidRPr="007D075D">
        <w:rPr>
          <w:rFonts w:ascii="Arial" w:hAnsi="Arial" w:cs="Arial"/>
          <w:sz w:val="20"/>
          <w:szCs w:val="20"/>
        </w:rPr>
        <w:t xml:space="preserve"> </w:t>
      </w:r>
      <w:r w:rsidR="00BA69DF" w:rsidRPr="007D075D">
        <w:rPr>
          <w:rFonts w:ascii="Arial" w:hAnsi="Arial" w:cs="Arial"/>
          <w:sz w:val="20"/>
          <w:szCs w:val="20"/>
        </w:rPr>
        <w:t>A</w:t>
      </w:r>
      <w:r w:rsidR="00BA69DF" w:rsidRPr="00511BA1">
        <w:rPr>
          <w:rFonts w:ascii="Arial" w:hAnsi="Arial" w:cs="Arial"/>
          <w:sz w:val="20"/>
          <w:szCs w:val="20"/>
        </w:rPr>
        <w:t xml:space="preserve"> key antitumor mechanism of </w:t>
      </w:r>
      <w:r w:rsidR="00443E27">
        <w:rPr>
          <w:lang w:val="en-US"/>
        </w:rPr>
        <w:t>o</w:t>
      </w:r>
      <w:r w:rsidR="00443E27">
        <w:t>mburtamab</w:t>
      </w:r>
      <w:r w:rsidR="00443E27" w:rsidRPr="00511BA1">
        <w:rPr>
          <w:rFonts w:ascii="Arial" w:hAnsi="Arial" w:cs="Arial"/>
          <w:sz w:val="20"/>
          <w:szCs w:val="20"/>
        </w:rPr>
        <w:t xml:space="preserve"> </w:t>
      </w:r>
      <w:r w:rsidR="00BA69DF" w:rsidRPr="00511BA1">
        <w:rPr>
          <w:rFonts w:ascii="Arial" w:hAnsi="Arial" w:cs="Arial"/>
          <w:sz w:val="20"/>
          <w:szCs w:val="20"/>
        </w:rPr>
        <w:t>is antibody-dependent cellular cytotoxicity (ADCC). Recent advances in artificial intelligence (AI) have facilitated more efficient antibody design and optimization, enabling the enhancement of antibody efficacy while preserving low immunogenicity.</w:t>
      </w:r>
    </w:p>
    <w:p w14:paraId="04853E12" w14:textId="77777777" w:rsidR="008024C6" w:rsidRDefault="008024C6" w:rsidP="008024C6">
      <w:pPr>
        <w:jc w:val="both"/>
        <w:rPr>
          <w:rFonts w:ascii="Arial" w:eastAsiaTheme="majorEastAsia" w:hAnsi="Arial" w:cs="Arial"/>
          <w:b/>
          <w:bCs/>
          <w:sz w:val="20"/>
          <w:szCs w:val="20"/>
        </w:rPr>
      </w:pPr>
    </w:p>
    <w:p w14:paraId="55D5C8C3" w14:textId="62A4C373" w:rsidR="00BA69DF" w:rsidRPr="00511BA1" w:rsidRDefault="00BA69DF" w:rsidP="008024C6">
      <w:pPr>
        <w:jc w:val="both"/>
        <w:rPr>
          <w:rFonts w:ascii="Arial" w:hAnsi="Arial" w:cs="Arial"/>
          <w:sz w:val="20"/>
          <w:szCs w:val="20"/>
        </w:rPr>
      </w:pPr>
      <w:r w:rsidRPr="00511BA1">
        <w:rPr>
          <w:rFonts w:ascii="Arial" w:eastAsiaTheme="majorEastAsia" w:hAnsi="Arial" w:cs="Arial"/>
          <w:b/>
          <w:bCs/>
          <w:sz w:val="20"/>
          <w:szCs w:val="20"/>
        </w:rPr>
        <w:t>Methods</w:t>
      </w:r>
      <w:r w:rsidR="00C535C9" w:rsidRPr="008024C6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Pr="00511BA1">
        <w:rPr>
          <w:rFonts w:ascii="Arial" w:hAnsi="Arial" w:cs="Arial"/>
          <w:sz w:val="20"/>
          <w:szCs w:val="20"/>
        </w:rPr>
        <w:t>We employed in silico-guided affinity maturation to engineer therapeutic monoclonal antibodies targeting HER2 and B7-H3. AI-driven structural modeling, computational mutagenesis, and yeast display technologies were integrated to identify mutations that enhance antigen binding</w:t>
      </w:r>
      <w:r w:rsidR="00CD153E">
        <w:rPr>
          <w:rFonts w:ascii="Arial" w:hAnsi="Arial" w:cs="Arial"/>
          <w:sz w:val="20"/>
          <w:szCs w:val="20"/>
          <w:lang w:val="en-US"/>
        </w:rPr>
        <w:t xml:space="preserve"> (Figure 1)</w:t>
      </w:r>
      <w:r w:rsidRPr="00511BA1">
        <w:rPr>
          <w:rFonts w:ascii="Arial" w:hAnsi="Arial" w:cs="Arial"/>
          <w:sz w:val="20"/>
          <w:szCs w:val="20"/>
        </w:rPr>
        <w:t>. Selected antibody variants were further evaluated for ADCC activity and antitumor efficacy both in vitro and in vivo.</w:t>
      </w:r>
    </w:p>
    <w:p w14:paraId="2663F4E8" w14:textId="65808264" w:rsidR="008024C6" w:rsidRDefault="00C37E7E" w:rsidP="008024C6">
      <w:pPr>
        <w:jc w:val="both"/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b/>
          <w:noProof/>
          <w:lang w:val="en-AU" w:eastAsia="zh-TW"/>
        </w:rPr>
        <w:drawing>
          <wp:inline distT="0" distB="0" distL="0" distR="0" wp14:anchorId="0F68C6FA" wp14:editId="1CCC525D">
            <wp:extent cx="5394191" cy="2936147"/>
            <wp:effectExtent l="0" t="0" r="3810" b="0"/>
            <wp:docPr id="4" name="Picture 4" descr="A diagram of different types of antibod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different types of antibodi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710" cy="294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7108C" w14:textId="6429F529" w:rsidR="00C37E7E" w:rsidRPr="00CD153E" w:rsidRDefault="00C37E7E" w:rsidP="00CD153E">
      <w:pPr>
        <w:rPr>
          <w:rFonts w:ascii="Arial" w:hAnsi="Arial" w:cs="Arial"/>
          <w:sz w:val="20"/>
          <w:szCs w:val="20"/>
        </w:rPr>
      </w:pPr>
      <w:r w:rsidRPr="00C37E7E">
        <w:rPr>
          <w:rFonts w:ascii="Arial" w:eastAsiaTheme="majorEastAsia" w:hAnsi="Arial" w:cs="Arial"/>
          <w:b/>
          <w:bCs/>
          <w:sz w:val="20"/>
          <w:szCs w:val="20"/>
          <w:lang w:val="en-US"/>
        </w:rPr>
        <w:t>Figure 1.</w:t>
      </w:r>
      <w:r w:rsidRPr="00C37E7E">
        <w:rPr>
          <w:rFonts w:ascii="Arial" w:hAnsi="Arial" w:cs="Arial"/>
          <w:bCs/>
          <w:sz w:val="20"/>
          <w:szCs w:val="20"/>
        </w:rPr>
        <w:t xml:space="preserve"> </w:t>
      </w:r>
      <w:r w:rsidR="00CD153E" w:rsidRPr="00CD153E">
        <w:rPr>
          <w:rFonts w:ascii="Arial" w:hAnsi="Arial" w:cs="Arial"/>
          <w:sz w:val="20"/>
          <w:szCs w:val="20"/>
        </w:rPr>
        <w:t>Schematic illustration of AI-aided antibody design and optimization</w:t>
      </w:r>
      <w:r w:rsidRPr="00CD153E">
        <w:rPr>
          <w:rFonts w:ascii="Arial" w:hAnsi="Arial" w:cs="Arial"/>
          <w:sz w:val="20"/>
          <w:szCs w:val="20"/>
        </w:rPr>
        <w:t>.</w:t>
      </w:r>
    </w:p>
    <w:p w14:paraId="1FD99975" w14:textId="77777777" w:rsidR="00C37E7E" w:rsidRPr="00C37E7E" w:rsidRDefault="00C37E7E" w:rsidP="008024C6">
      <w:pPr>
        <w:jc w:val="both"/>
        <w:rPr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0583B5BD" w14:textId="4A4E09DE" w:rsidR="00BA69DF" w:rsidRPr="00511BA1" w:rsidRDefault="00BA69DF" w:rsidP="008024C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11BA1">
        <w:rPr>
          <w:rFonts w:ascii="Arial" w:eastAsiaTheme="majorEastAsia" w:hAnsi="Arial" w:cs="Arial"/>
          <w:b/>
          <w:bCs/>
          <w:sz w:val="20"/>
          <w:szCs w:val="20"/>
        </w:rPr>
        <w:t>Results</w:t>
      </w:r>
      <w:r w:rsidRPr="00511BA1">
        <w:rPr>
          <w:rFonts w:ascii="Arial" w:hAnsi="Arial" w:cs="Arial"/>
          <w:sz w:val="20"/>
          <w:szCs w:val="20"/>
        </w:rPr>
        <w:br/>
        <w:t xml:space="preserve">High-affinity antibody variants were successfully developed using yeast display and AI-assisted </w:t>
      </w:r>
      <w:r w:rsidRPr="00511BA1">
        <w:rPr>
          <w:rFonts w:ascii="Arial" w:hAnsi="Arial" w:cs="Arial"/>
          <w:color w:val="000000" w:themeColor="text1"/>
          <w:sz w:val="20"/>
          <w:szCs w:val="20"/>
        </w:rPr>
        <w:t xml:space="preserve">modeling. The affinity maturation of anti-B7-H3 mAb </w:t>
      </w:r>
      <w:proofErr w:type="spellStart"/>
      <w:r w:rsidRPr="008024C6">
        <w:rPr>
          <w:rFonts w:ascii="Arial" w:hAnsi="Arial" w:cs="Arial"/>
          <w:color w:val="000000" w:themeColor="text1"/>
          <w:sz w:val="20"/>
          <w:szCs w:val="20"/>
          <w:lang w:val="en-US"/>
        </w:rPr>
        <w:t>omburtamab</w:t>
      </w:r>
      <w:proofErr w:type="spellEnd"/>
      <w:r w:rsidRPr="00511BA1">
        <w:rPr>
          <w:rFonts w:ascii="Arial" w:hAnsi="Arial" w:cs="Arial"/>
          <w:color w:val="000000" w:themeColor="text1"/>
          <w:sz w:val="20"/>
          <w:szCs w:val="20"/>
        </w:rPr>
        <w:t xml:space="preserve"> yielded a humanized variant with up to 160-fold increased affinity and potent ADCC activity. Similarly, an affinity-matured anti-HER2 antibody (Ab5m) exhibited a 7.5-fold improvement in binding affinity (K</w:t>
      </w:r>
      <w:r w:rsidRPr="00511BA1">
        <w:rPr>
          <w:rFonts w:ascii="Arial" w:hAnsi="Arial" w:cs="Arial"/>
          <w:color w:val="000000" w:themeColor="text1"/>
          <w:sz w:val="20"/>
          <w:szCs w:val="20"/>
          <w:vertAlign w:val="subscript"/>
        </w:rPr>
        <w:t>D</w:t>
      </w:r>
      <w:r w:rsidRPr="00511BA1">
        <w:rPr>
          <w:rFonts w:ascii="Arial" w:hAnsi="Arial" w:cs="Arial"/>
          <w:color w:val="000000" w:themeColor="text1"/>
          <w:sz w:val="20"/>
          <w:szCs w:val="20"/>
        </w:rPr>
        <w:t xml:space="preserve"> = 0.2 nM vs. 1.5 nM) and significantly enhanced ADCC, resulting in superior tumor suppression in vivo, both as a monotherapy and in combination with </w:t>
      </w:r>
      <w:r w:rsidR="00443E2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high-affinity </w:t>
      </w:r>
      <w:proofErr w:type="spellStart"/>
      <w:r w:rsidRPr="008024C6">
        <w:rPr>
          <w:rFonts w:ascii="Arial" w:hAnsi="Arial" w:cs="Arial"/>
          <w:color w:val="000000" w:themeColor="text1"/>
          <w:sz w:val="20"/>
          <w:szCs w:val="20"/>
          <w:lang w:val="en-US"/>
        </w:rPr>
        <w:t>omburtamab</w:t>
      </w:r>
      <w:proofErr w:type="spellEnd"/>
      <w:r w:rsidRPr="00511BA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20017F" w14:textId="4A3747C4" w:rsidR="00C37E7E" w:rsidRPr="00AC324A" w:rsidRDefault="00BA69DF" w:rsidP="008024C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11BA1">
        <w:rPr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Conclusions</w:t>
      </w:r>
      <w:r w:rsidR="00C535C9" w:rsidRPr="008024C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7D075D">
        <w:rPr>
          <w:rFonts w:ascii="Arial" w:hAnsi="Arial" w:cs="Arial"/>
          <w:color w:val="000000" w:themeColor="text1"/>
          <w:sz w:val="20"/>
          <w:szCs w:val="20"/>
        </w:rPr>
        <w:t>These results highlight the power of AI-guided affinity maturation in optimizing antibod</w:t>
      </w:r>
      <w:r w:rsidR="00614F41" w:rsidRPr="007D075D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="00443E27" w:rsidRPr="007D075D">
        <w:rPr>
          <w:rFonts w:ascii="Arial" w:hAnsi="Arial" w:cs="Arial"/>
          <w:color w:val="000000" w:themeColor="text1"/>
          <w:sz w:val="20"/>
          <w:szCs w:val="20"/>
        </w:rPr>
        <w:t>therapeutics</w:t>
      </w:r>
      <w:r w:rsidRPr="007D075D">
        <w:rPr>
          <w:rFonts w:ascii="Arial" w:hAnsi="Arial" w:cs="Arial"/>
          <w:color w:val="000000" w:themeColor="text1"/>
          <w:sz w:val="20"/>
          <w:szCs w:val="20"/>
        </w:rPr>
        <w:t xml:space="preserve"> for cancer immunotherapy. </w:t>
      </w:r>
      <w:r w:rsidR="007D075D" w:rsidRPr="007D075D">
        <w:rPr>
          <w:rFonts w:ascii="Arial" w:hAnsi="Arial" w:cs="Arial"/>
          <w:color w:val="000000" w:themeColor="text1"/>
          <w:sz w:val="20"/>
          <w:szCs w:val="20"/>
        </w:rPr>
        <w:t>This strategy enables the generation of safer and more effective mAbs with enhanced antitumor efficacy and reduced immunogenicity, offering promising avenues for clinical translation.</w:t>
      </w:r>
    </w:p>
    <w:p w14:paraId="28D4ED05" w14:textId="13C5ADBA" w:rsidR="00C810FE" w:rsidRPr="005864B7" w:rsidRDefault="00C810FE" w:rsidP="008024C6">
      <w:pPr>
        <w:jc w:val="both"/>
        <w:rPr>
          <w:rFonts w:ascii="Arial" w:eastAsia="Calibri" w:hAnsi="Arial" w:cs="Arial"/>
          <w:b/>
          <w:color w:val="000000" w:themeColor="text1"/>
          <w:sz w:val="20"/>
          <w:szCs w:val="20"/>
          <w:lang w:val="en-US"/>
        </w:rPr>
      </w:pPr>
      <w:r w:rsidRPr="00C37E7E">
        <w:rPr>
          <w:rFonts w:ascii="Arial" w:eastAsia="Calibri" w:hAnsi="Arial" w:cs="Arial"/>
          <w:b/>
          <w:color w:val="000000" w:themeColor="text1"/>
          <w:sz w:val="20"/>
          <w:szCs w:val="20"/>
          <w:lang w:val="en-US"/>
        </w:rPr>
        <w:t>Acknowledgements.</w:t>
      </w:r>
      <w:r w:rsidRPr="008024C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This work was supported by the Science and Technology Development Fund of Macau (FDCT/0009/2023/RIC</w:t>
      </w:r>
      <w:r w:rsidRPr="008024C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).</w:t>
      </w:r>
    </w:p>
    <w:p w14:paraId="018ECC85" w14:textId="77777777" w:rsidR="008024C6" w:rsidRPr="008024C6" w:rsidRDefault="008024C6" w:rsidP="008024C6">
      <w:pPr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75BA4F32" w14:textId="7A17E3E5" w:rsidR="00C810FE" w:rsidRPr="008024C6" w:rsidRDefault="00C810FE" w:rsidP="008024C6">
      <w:pPr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8024C6">
        <w:rPr>
          <w:rFonts w:ascii="Arial" w:eastAsia="Calibri" w:hAnsi="Arial" w:cs="Arial"/>
          <w:b/>
          <w:color w:val="000000" w:themeColor="text1"/>
          <w:sz w:val="20"/>
          <w:szCs w:val="20"/>
        </w:rPr>
        <w:t>References:</w:t>
      </w:r>
    </w:p>
    <w:p w14:paraId="2AC8F260" w14:textId="5D3B09F7" w:rsidR="00C810FE" w:rsidRPr="008024C6" w:rsidRDefault="00C810FE" w:rsidP="008024C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24C6">
        <w:rPr>
          <w:rFonts w:ascii="Arial" w:hAnsi="Arial" w:cs="Arial"/>
          <w:color w:val="000000" w:themeColor="text1"/>
          <w:sz w:val="20"/>
          <w:szCs w:val="20"/>
        </w:rPr>
        <w:t>(1) Zhou, G. et al. (2025) Journal of Immunology, vkaf063.</w:t>
      </w:r>
    </w:p>
    <w:p w14:paraId="7A070F68" w14:textId="5DA18F1E" w:rsidR="00C810FE" w:rsidRDefault="00C810FE" w:rsidP="008024C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24C6">
        <w:rPr>
          <w:rFonts w:ascii="Arial" w:hAnsi="Arial" w:cs="Arial"/>
          <w:color w:val="000000" w:themeColor="text1"/>
          <w:sz w:val="20"/>
          <w:szCs w:val="20"/>
        </w:rPr>
        <w:t xml:space="preserve">(2) Ahmed, M. et al (2015) </w:t>
      </w:r>
      <w:r w:rsidR="00424783">
        <w:rPr>
          <w:rFonts w:ascii="Arial" w:hAnsi="Arial" w:cs="Arial"/>
          <w:color w:val="000000" w:themeColor="text1"/>
          <w:sz w:val="20"/>
          <w:szCs w:val="20"/>
          <w:lang w:val="en-US"/>
        </w:rPr>
        <w:t>Journal of Biological Chemistry,</w:t>
      </w:r>
      <w:r w:rsidRPr="008024C6">
        <w:rPr>
          <w:rFonts w:ascii="Arial" w:hAnsi="Arial" w:cs="Arial"/>
          <w:color w:val="000000" w:themeColor="text1"/>
          <w:sz w:val="20"/>
          <w:szCs w:val="20"/>
        </w:rPr>
        <w:t xml:space="preserve"> 290(50), 30018.</w:t>
      </w:r>
    </w:p>
    <w:p w14:paraId="2AB3CDE1" w14:textId="21CC72D3" w:rsidR="00C810FE" w:rsidRPr="00C71B40" w:rsidRDefault="00424783" w:rsidP="00C71B40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(3) Zhao, Q.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US"/>
        </w:rPr>
        <w:t>etal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(2015) Leukemia, 29(11), 2238.</w:t>
      </w:r>
    </w:p>
    <w:p w14:paraId="09FF3A78" w14:textId="4199112E" w:rsidR="00C535C9" w:rsidRPr="008024C6" w:rsidRDefault="00C535C9" w:rsidP="008024C6">
      <w:pPr>
        <w:spacing w:before="100" w:beforeAutospacing="1" w:after="100" w:afterAutospacing="1"/>
      </w:pPr>
    </w:p>
    <w:sectPr w:rsidR="00C535C9" w:rsidRPr="00802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2017E6"/>
    <w:rsid w:val="00294059"/>
    <w:rsid w:val="003206E4"/>
    <w:rsid w:val="003A2652"/>
    <w:rsid w:val="003A6D5C"/>
    <w:rsid w:val="00424783"/>
    <w:rsid w:val="004259DD"/>
    <w:rsid w:val="00443E27"/>
    <w:rsid w:val="004A51B6"/>
    <w:rsid w:val="00510CF8"/>
    <w:rsid w:val="005174D2"/>
    <w:rsid w:val="00575A29"/>
    <w:rsid w:val="005864B7"/>
    <w:rsid w:val="00601754"/>
    <w:rsid w:val="00614F41"/>
    <w:rsid w:val="0068776E"/>
    <w:rsid w:val="006A34BE"/>
    <w:rsid w:val="006F3F1C"/>
    <w:rsid w:val="007141F2"/>
    <w:rsid w:val="007561D8"/>
    <w:rsid w:val="00795378"/>
    <w:rsid w:val="00796206"/>
    <w:rsid w:val="007C367E"/>
    <w:rsid w:val="007D075D"/>
    <w:rsid w:val="008024C6"/>
    <w:rsid w:val="008071C5"/>
    <w:rsid w:val="008935A3"/>
    <w:rsid w:val="00906D34"/>
    <w:rsid w:val="00933DC9"/>
    <w:rsid w:val="00936D4C"/>
    <w:rsid w:val="009523F9"/>
    <w:rsid w:val="009650DF"/>
    <w:rsid w:val="009B1CBB"/>
    <w:rsid w:val="009C15D2"/>
    <w:rsid w:val="00A0516D"/>
    <w:rsid w:val="00AC324A"/>
    <w:rsid w:val="00B4721D"/>
    <w:rsid w:val="00B52269"/>
    <w:rsid w:val="00B8473A"/>
    <w:rsid w:val="00BA69DF"/>
    <w:rsid w:val="00C21815"/>
    <w:rsid w:val="00C315D2"/>
    <w:rsid w:val="00C353D8"/>
    <w:rsid w:val="00C37E7E"/>
    <w:rsid w:val="00C535C9"/>
    <w:rsid w:val="00C71B40"/>
    <w:rsid w:val="00C810FE"/>
    <w:rsid w:val="00CD153E"/>
    <w:rsid w:val="00CF5A91"/>
    <w:rsid w:val="00D02BB1"/>
    <w:rsid w:val="00D45A74"/>
    <w:rsid w:val="00D7428F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E27"/>
    <w:pPr>
      <w:spacing w:after="0" w:line="240" w:lineRule="auto"/>
    </w:pPr>
    <w:rPr>
      <w:rFonts w:ascii="Times New Roman" w:eastAsia="Times New Roman" w:hAnsi="Times New Roman" w:cs="Times New Roman"/>
      <w:kern w:val="0"/>
      <w:lang w:val="en-MO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A2652"/>
  </w:style>
  <w:style w:type="character" w:styleId="Emphasis">
    <w:name w:val="Emphasis"/>
    <w:basedOn w:val="DefaultParagraphFont"/>
    <w:uiPriority w:val="20"/>
    <w:qFormat/>
    <w:rsid w:val="00C810FE"/>
    <w:rPr>
      <w:i/>
      <w:iCs/>
    </w:rPr>
  </w:style>
  <w:style w:type="character" w:styleId="Strong">
    <w:name w:val="Strong"/>
    <w:basedOn w:val="DefaultParagraphFont"/>
    <w:uiPriority w:val="22"/>
    <w:qFormat/>
    <w:rsid w:val="00443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qizhao</cp:lastModifiedBy>
  <cp:revision>13</cp:revision>
  <dcterms:created xsi:type="dcterms:W3CDTF">2025-05-28T07:09:00Z</dcterms:created>
  <dcterms:modified xsi:type="dcterms:W3CDTF">2025-05-28T07:33:00Z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