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633EDC17" w:rsidR="00C315D2" w:rsidRPr="00856FC3" w:rsidRDefault="00F53CFD" w:rsidP="5E2C5F31">
      <w:pPr>
        <w:spacing w:after="0" w:line="240" w:lineRule="auto"/>
        <w:rPr>
          <w:rFonts w:ascii="Arial" w:hAnsi="Arial" w:cs="Calibri"/>
          <w:b/>
          <w:bCs/>
          <w:kern w:val="0"/>
          <w:lang w:val="en-US" w:eastAsia="ja-JP"/>
          <w14:ligatures w14:val="none"/>
        </w:rPr>
      </w:pPr>
      <w:r w:rsidRPr="00F53CFD">
        <w:rPr>
          <w:rFonts w:ascii="Arial" w:eastAsia="Calibri" w:hAnsi="Arial" w:cs="Calibri"/>
          <w:b/>
          <w:bCs/>
          <w:kern w:val="0"/>
          <w:lang w:val="en-US"/>
          <w14:ligatures w14:val="none"/>
        </w:rPr>
        <w:t>Osteocyte-</w:t>
      </w:r>
      <w:r>
        <w:rPr>
          <w:rFonts w:ascii="Arial" w:hAnsi="Arial" w:cs="Calibri" w:hint="eastAsia"/>
          <w:b/>
          <w:bCs/>
          <w:kern w:val="0"/>
          <w:lang w:val="en-US" w:eastAsia="ja-JP"/>
          <w14:ligatures w14:val="none"/>
        </w:rPr>
        <w:t>T</w:t>
      </w:r>
      <w:r w:rsidRPr="00F53CFD">
        <w:rPr>
          <w:rFonts w:ascii="Arial" w:eastAsia="Calibri" w:hAnsi="Arial" w:cs="Calibri"/>
          <w:b/>
          <w:bCs/>
          <w:kern w:val="0"/>
          <w:lang w:val="en-US"/>
          <w14:ligatures w14:val="none"/>
        </w:rPr>
        <w:t xml:space="preserve">argeting </w:t>
      </w:r>
      <w:r>
        <w:rPr>
          <w:rFonts w:ascii="Arial" w:hAnsi="Arial" w:cs="Calibri" w:hint="eastAsia"/>
          <w:b/>
          <w:bCs/>
          <w:kern w:val="0"/>
          <w:lang w:val="en-US" w:eastAsia="ja-JP"/>
          <w14:ligatures w14:val="none"/>
        </w:rPr>
        <w:t>S</w:t>
      </w:r>
      <w:r w:rsidRPr="00F53CFD">
        <w:rPr>
          <w:rFonts w:ascii="Arial" w:eastAsia="Calibri" w:hAnsi="Arial" w:cs="Calibri"/>
          <w:b/>
          <w:bCs/>
          <w:kern w:val="0"/>
          <w:lang w:val="en-US"/>
          <w14:ligatures w14:val="none"/>
        </w:rPr>
        <w:t xml:space="preserve">ystem </w:t>
      </w:r>
      <w:r>
        <w:rPr>
          <w:rFonts w:ascii="Arial" w:hAnsi="Arial" w:cs="Calibri" w:hint="eastAsia"/>
          <w:b/>
          <w:bCs/>
          <w:kern w:val="0"/>
          <w:lang w:val="en-US" w:eastAsia="ja-JP"/>
          <w14:ligatures w14:val="none"/>
        </w:rPr>
        <w:t>U</w:t>
      </w:r>
      <w:r w:rsidRPr="00F53CFD">
        <w:rPr>
          <w:rFonts w:ascii="Arial" w:eastAsia="Calibri" w:hAnsi="Arial" w:cs="Calibri"/>
          <w:b/>
          <w:bCs/>
          <w:kern w:val="0"/>
          <w:lang w:val="en-US"/>
          <w14:ligatures w14:val="none"/>
        </w:rPr>
        <w:t xml:space="preserve">sing </w:t>
      </w:r>
      <w:r>
        <w:rPr>
          <w:rFonts w:ascii="Arial" w:hAnsi="Arial" w:cs="Calibri" w:hint="eastAsia"/>
          <w:b/>
          <w:bCs/>
          <w:kern w:val="0"/>
          <w:lang w:val="en-US" w:eastAsia="ja-JP"/>
          <w14:ligatures w14:val="none"/>
        </w:rPr>
        <w:t>T</w:t>
      </w:r>
      <w:r w:rsidRPr="00F53CFD">
        <w:rPr>
          <w:rFonts w:ascii="Arial" w:eastAsia="Calibri" w:hAnsi="Arial" w:cs="Calibri"/>
          <w:b/>
          <w:bCs/>
          <w:kern w:val="0"/>
          <w:lang w:val="en-US"/>
          <w14:ligatures w14:val="none"/>
        </w:rPr>
        <w:t>hermo-</w:t>
      </w:r>
      <w:r>
        <w:rPr>
          <w:rFonts w:ascii="Arial" w:hAnsi="Arial" w:cs="Calibri" w:hint="eastAsia"/>
          <w:b/>
          <w:bCs/>
          <w:kern w:val="0"/>
          <w:lang w:val="en-US" w:eastAsia="ja-JP"/>
          <w14:ligatures w14:val="none"/>
        </w:rPr>
        <w:t>R</w:t>
      </w:r>
      <w:r w:rsidRPr="00F53CFD">
        <w:rPr>
          <w:rFonts w:ascii="Arial" w:eastAsia="Calibri" w:hAnsi="Arial" w:cs="Calibri"/>
          <w:b/>
          <w:bCs/>
          <w:kern w:val="0"/>
          <w:lang w:val="en-US"/>
          <w14:ligatures w14:val="none"/>
        </w:rPr>
        <w:t xml:space="preserve">esponsive </w:t>
      </w:r>
      <w:r w:rsidR="009A18EF">
        <w:rPr>
          <w:rFonts w:ascii="Arial" w:hAnsi="Arial" w:cs="Calibri" w:hint="eastAsia"/>
          <w:b/>
          <w:bCs/>
          <w:kern w:val="0"/>
          <w:lang w:val="en-US" w:eastAsia="ja-JP"/>
          <w14:ligatures w14:val="none"/>
        </w:rPr>
        <w:t>S</w:t>
      </w:r>
      <w:r w:rsidRPr="00F53CFD">
        <w:rPr>
          <w:rFonts w:ascii="Arial" w:eastAsia="Calibri" w:hAnsi="Arial" w:cs="Calibri"/>
          <w:b/>
          <w:bCs/>
          <w:kern w:val="0"/>
          <w:lang w:val="en-US"/>
          <w14:ligatures w14:val="none"/>
        </w:rPr>
        <w:t>elf-</w:t>
      </w:r>
      <w:r w:rsidR="009A18EF">
        <w:rPr>
          <w:rFonts w:ascii="Arial" w:hAnsi="Arial" w:cs="Calibri" w:hint="eastAsia"/>
          <w:b/>
          <w:bCs/>
          <w:kern w:val="0"/>
          <w:lang w:val="en-US" w:eastAsia="ja-JP"/>
          <w14:ligatures w14:val="none"/>
        </w:rPr>
        <w:t>A</w:t>
      </w:r>
      <w:r w:rsidRPr="00F53CFD">
        <w:rPr>
          <w:rFonts w:ascii="Arial" w:eastAsia="Calibri" w:hAnsi="Arial" w:cs="Calibri"/>
          <w:b/>
          <w:bCs/>
          <w:kern w:val="0"/>
          <w:lang w:val="en-US"/>
          <w14:ligatures w14:val="none"/>
        </w:rPr>
        <w:t xml:space="preserve">ssembled </w:t>
      </w:r>
      <w:r w:rsidR="009A18EF">
        <w:rPr>
          <w:rFonts w:ascii="Arial" w:hAnsi="Arial" w:cs="Calibri" w:hint="eastAsia"/>
          <w:b/>
          <w:bCs/>
          <w:kern w:val="0"/>
          <w:lang w:val="en-US" w:eastAsia="ja-JP"/>
          <w14:ligatures w14:val="none"/>
        </w:rPr>
        <w:t>N</w:t>
      </w:r>
      <w:r w:rsidRPr="00F53CFD">
        <w:rPr>
          <w:rFonts w:ascii="Arial" w:eastAsia="Calibri" w:hAnsi="Arial" w:cs="Calibri"/>
          <w:b/>
          <w:bCs/>
          <w:kern w:val="0"/>
          <w:lang w:val="en-US"/>
          <w14:ligatures w14:val="none"/>
        </w:rPr>
        <w:t xml:space="preserve">anocarrier for CKD-MBD </w:t>
      </w:r>
      <w:r w:rsidR="009A18EF">
        <w:rPr>
          <w:rFonts w:ascii="Arial" w:hAnsi="Arial" w:cs="Calibri" w:hint="eastAsia"/>
          <w:b/>
          <w:bCs/>
          <w:kern w:val="0"/>
          <w:lang w:val="en-US" w:eastAsia="ja-JP"/>
          <w14:ligatures w14:val="none"/>
        </w:rPr>
        <w:t>T</w:t>
      </w:r>
      <w:r w:rsidRPr="00F53CFD">
        <w:rPr>
          <w:rFonts w:ascii="Arial" w:eastAsia="Calibri" w:hAnsi="Arial" w:cs="Calibri"/>
          <w:b/>
          <w:bCs/>
          <w:kern w:val="0"/>
          <w:lang w:val="en-US"/>
          <w14:ligatures w14:val="none"/>
        </w:rPr>
        <w:t>reatment</w:t>
      </w:r>
    </w:p>
    <w:p w14:paraId="79141BD9" w14:textId="5C4B2DE8" w:rsidR="00C315D2" w:rsidRPr="00912D73" w:rsidRDefault="00856FC3" w:rsidP="00C315D2">
      <w:pPr>
        <w:spacing w:after="0" w:line="240" w:lineRule="auto"/>
        <w:rPr>
          <w:rFonts w:ascii="Arial" w:hAnsi="Arial" w:cs="Calibri"/>
          <w:bCs/>
          <w:kern w:val="0"/>
          <w:sz w:val="20"/>
          <w:szCs w:val="20"/>
          <w:lang w:eastAsia="ja-JP"/>
          <w14:ligatures w14:val="none"/>
        </w:rPr>
      </w:pPr>
      <w:r>
        <w:rPr>
          <w:rFonts w:ascii="Arial" w:hAnsi="Arial" w:cs="Calibri" w:hint="eastAsia"/>
          <w:b/>
          <w:kern w:val="0"/>
          <w:sz w:val="20"/>
          <w:szCs w:val="20"/>
          <w:u w:val="single"/>
          <w:lang w:eastAsia="ja-JP"/>
          <w14:ligatures w14:val="none"/>
        </w:rPr>
        <w:t>Shugo</w:t>
      </w:r>
      <w:r w:rsidR="00C315D2" w:rsidRPr="00C315D2">
        <w:rPr>
          <w:rFonts w:ascii="Arial" w:eastAsia="Calibri" w:hAnsi="Arial" w:cs="Calibri"/>
          <w:b/>
          <w:kern w:val="0"/>
          <w:sz w:val="20"/>
          <w:szCs w:val="20"/>
          <w:u w:val="single"/>
          <w14:ligatures w14:val="none"/>
        </w:rPr>
        <w:t xml:space="preserve"> </w:t>
      </w:r>
      <w:r>
        <w:rPr>
          <w:rFonts w:ascii="Arial" w:hAnsi="Arial" w:cs="Calibri" w:hint="eastAsia"/>
          <w:b/>
          <w:kern w:val="0"/>
          <w:sz w:val="20"/>
          <w:szCs w:val="20"/>
          <w:u w:val="single"/>
          <w:lang w:eastAsia="ja-JP"/>
          <w14:ligatures w14:val="none"/>
        </w:rPr>
        <w:t>Yamashita</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r>
        <w:rPr>
          <w:rFonts w:ascii="Arial" w:hAnsi="Arial" w:cs="Calibri" w:hint="eastAsia"/>
          <w:bCs/>
          <w:kern w:val="0"/>
          <w:sz w:val="20"/>
          <w:szCs w:val="20"/>
          <w:lang w:eastAsia="ja-JP"/>
          <w14:ligatures w14:val="none"/>
        </w:rPr>
        <w:t>Hidemasa</w:t>
      </w:r>
      <w:r w:rsidR="00C315D2" w:rsidRPr="00C315D2">
        <w:rPr>
          <w:rFonts w:ascii="Arial" w:eastAsia="Calibri" w:hAnsi="Arial" w:cs="Calibri"/>
          <w:bCs/>
          <w:kern w:val="0"/>
          <w:sz w:val="20"/>
          <w:szCs w:val="20"/>
          <w14:ligatures w14:val="none"/>
        </w:rPr>
        <w:t xml:space="preserve"> </w:t>
      </w:r>
      <w:r w:rsidR="00912D73">
        <w:rPr>
          <w:rFonts w:ascii="Arial" w:hAnsi="Arial" w:cs="Calibri" w:hint="eastAsia"/>
          <w:bCs/>
          <w:kern w:val="0"/>
          <w:sz w:val="20"/>
          <w:szCs w:val="20"/>
          <w:lang w:eastAsia="ja-JP"/>
          <w14:ligatures w14:val="none"/>
        </w:rPr>
        <w:t>Katsumi</w:t>
      </w:r>
      <w:r w:rsidR="00C315D2" w:rsidRPr="00C315D2">
        <w:rPr>
          <w:rFonts w:ascii="Arial" w:eastAsia="Calibri" w:hAnsi="Arial" w:cs="Calibri"/>
          <w:bCs/>
          <w:kern w:val="0"/>
          <w:sz w:val="20"/>
          <w:szCs w:val="20"/>
          <w:vertAlign w:val="superscript"/>
          <w14:ligatures w14:val="none"/>
        </w:rPr>
        <w:t>2</w:t>
      </w:r>
      <w:r w:rsidR="00912D73">
        <w:rPr>
          <w:rFonts w:ascii="Arial" w:hAnsi="Arial" w:cs="Calibri" w:hint="eastAsia"/>
          <w:bCs/>
          <w:kern w:val="0"/>
          <w:sz w:val="20"/>
          <w:szCs w:val="20"/>
          <w:lang w:eastAsia="ja-JP"/>
          <w14:ligatures w14:val="none"/>
        </w:rPr>
        <w:t>, Akiko Kiriyama</w:t>
      </w:r>
      <w:r w:rsidR="00E26F09" w:rsidRPr="00E26F09">
        <w:rPr>
          <w:rFonts w:ascii="Arial" w:hAnsi="Arial" w:cs="Calibri" w:hint="eastAsia"/>
          <w:bCs/>
          <w:kern w:val="0"/>
          <w:sz w:val="20"/>
          <w:szCs w:val="20"/>
          <w:vertAlign w:val="superscript"/>
          <w:lang w:eastAsia="ja-JP"/>
          <w14:ligatures w14:val="none"/>
        </w:rPr>
        <w:t>1</w:t>
      </w:r>
    </w:p>
    <w:p w14:paraId="137D4547" w14:textId="1D9870F7" w:rsidR="00C315D2" w:rsidRPr="00C315D2" w:rsidRDefault="00C315D2" w:rsidP="4FE71DF4">
      <w:pPr>
        <w:spacing w:after="0" w:line="240" w:lineRule="auto"/>
        <w:rPr>
          <w:rFonts w:ascii="Arial" w:eastAsia="Calibri" w:hAnsi="Arial" w:cs="Calibri"/>
          <w:bCs/>
          <w:kern w:val="0"/>
          <w:sz w:val="20"/>
          <w:szCs w:val="20"/>
          <w14:ligatures w14:val="none"/>
        </w:rPr>
      </w:pPr>
      <w:r w:rsidRPr="00C315D2">
        <w:rPr>
          <w:rFonts w:ascii="Arial" w:eastAsia="Calibri" w:hAnsi="Arial" w:cs="Calibri"/>
          <w:bCs/>
          <w:kern w:val="0"/>
          <w:sz w:val="20"/>
          <w:szCs w:val="20"/>
          <w14:ligatures w14:val="none"/>
        </w:rPr>
        <w:t xml:space="preserve">Department </w:t>
      </w:r>
      <w:r w:rsidR="0006751A" w:rsidRPr="0006751A">
        <w:rPr>
          <w:rFonts w:ascii="Arial" w:eastAsia="Calibri" w:hAnsi="Arial" w:cs="Calibri"/>
          <w:bCs/>
          <w:kern w:val="0"/>
          <w:sz w:val="20"/>
          <w:szCs w:val="20"/>
          <w:lang w:val="en-US"/>
          <w14:ligatures w14:val="none"/>
        </w:rPr>
        <w:t>of Pharmacokinetics</w:t>
      </w:r>
      <w:r w:rsidRPr="00C315D2">
        <w:rPr>
          <w:rFonts w:ascii="Arial" w:eastAsia="Calibri" w:hAnsi="Arial" w:cs="Calibri"/>
          <w:bCs/>
          <w:kern w:val="0"/>
          <w:sz w:val="20"/>
          <w:szCs w:val="20"/>
          <w14:ligatures w14:val="none"/>
        </w:rPr>
        <w:t xml:space="preserve">, </w:t>
      </w:r>
      <w:r w:rsidR="00276A06" w:rsidRPr="00276A06">
        <w:rPr>
          <w:rFonts w:ascii="Arial" w:eastAsia="Calibri" w:hAnsi="Arial" w:cs="Calibri"/>
          <w:bCs/>
          <w:kern w:val="0"/>
          <w:sz w:val="20"/>
          <w:szCs w:val="20"/>
          <w:lang w:val="en-US"/>
          <w14:ligatures w14:val="none"/>
        </w:rPr>
        <w:t>Doshisha Women’s College of Liberal Arts</w:t>
      </w:r>
      <w:r w:rsidRPr="00C315D2">
        <w:rPr>
          <w:rFonts w:ascii="Arial" w:eastAsia="Calibri" w:hAnsi="Arial" w:cs="Calibri"/>
          <w:bCs/>
          <w:kern w:val="0"/>
          <w:sz w:val="20"/>
          <w:szCs w:val="20"/>
          <w:vertAlign w:val="superscript"/>
          <w14:ligatures w14:val="none"/>
        </w:rPr>
        <w:t>1</w:t>
      </w:r>
      <w:r w:rsidRPr="00C315D2">
        <w:rPr>
          <w:rFonts w:ascii="Arial" w:eastAsia="Calibri" w:hAnsi="Arial" w:cs="Calibri"/>
          <w:bCs/>
          <w:kern w:val="0"/>
          <w:sz w:val="20"/>
          <w:szCs w:val="20"/>
          <w14:ligatures w14:val="none"/>
        </w:rPr>
        <w:t xml:space="preserve">, </w:t>
      </w:r>
      <w:proofErr w:type="spellStart"/>
      <w:r w:rsidR="00276A06">
        <w:rPr>
          <w:rFonts w:ascii="Arial" w:hAnsi="Arial" w:cs="Calibri" w:hint="eastAsia"/>
          <w:bCs/>
          <w:kern w:val="0"/>
          <w:sz w:val="20"/>
          <w:szCs w:val="20"/>
          <w:lang w:eastAsia="ja-JP"/>
          <w14:ligatures w14:val="none"/>
        </w:rPr>
        <w:t>Kyotanabe</w:t>
      </w:r>
      <w:proofErr w:type="spellEnd"/>
      <w:r w:rsidRPr="00C315D2">
        <w:rPr>
          <w:rFonts w:ascii="Arial" w:eastAsia="Calibri" w:hAnsi="Arial" w:cs="Calibri"/>
          <w:bCs/>
          <w:kern w:val="0"/>
          <w:sz w:val="20"/>
          <w:szCs w:val="20"/>
          <w14:ligatures w14:val="none"/>
        </w:rPr>
        <w:t xml:space="preserve">, </w:t>
      </w:r>
      <w:r w:rsidR="00276A06">
        <w:rPr>
          <w:rFonts w:ascii="Arial" w:hAnsi="Arial" w:cs="Calibri" w:hint="eastAsia"/>
          <w:kern w:val="0"/>
          <w:sz w:val="20"/>
          <w:szCs w:val="20"/>
          <w:lang w:eastAsia="ja-JP"/>
          <w14:ligatures w14:val="none"/>
        </w:rPr>
        <w:t>Kyoto</w:t>
      </w:r>
      <w:r w:rsidRPr="00C315D2">
        <w:rPr>
          <w:rFonts w:ascii="Arial" w:eastAsia="Calibri" w:hAnsi="Arial" w:cs="Calibri"/>
          <w:bCs/>
          <w:kern w:val="0"/>
          <w:sz w:val="20"/>
          <w:szCs w:val="20"/>
          <w14:ligatures w14:val="none"/>
        </w:rPr>
        <w:t xml:space="preserve">, </w:t>
      </w:r>
      <w:proofErr w:type="gramStart"/>
      <w:r w:rsidR="00276A06">
        <w:rPr>
          <w:rFonts w:ascii="Arial" w:hAnsi="Arial" w:cs="Calibri" w:hint="eastAsia"/>
          <w:bCs/>
          <w:kern w:val="0"/>
          <w:sz w:val="20"/>
          <w:szCs w:val="20"/>
          <w:lang w:eastAsia="ja-JP"/>
          <w14:ligatures w14:val="none"/>
        </w:rPr>
        <w:t>Japan</w:t>
      </w:r>
      <w:r w:rsidR="00F539FB">
        <w:rPr>
          <w:rFonts w:ascii="Arial" w:eastAsia="Calibri" w:hAnsi="Arial" w:cs="Calibri"/>
          <w:bCs/>
          <w:kern w:val="0"/>
          <w:sz w:val="20"/>
          <w:szCs w:val="20"/>
          <w14:ligatures w14:val="none"/>
        </w:rPr>
        <w:t>;</w:t>
      </w:r>
      <w:proofErr w:type="gramEnd"/>
    </w:p>
    <w:p w14:paraId="47D76891" w14:textId="43039D51" w:rsidR="00C315D2" w:rsidRPr="00C315D2" w:rsidRDefault="00C315D2" w:rsidP="4FE71DF4">
      <w:pPr>
        <w:spacing w:after="0" w:line="240" w:lineRule="auto"/>
        <w:rPr>
          <w:rFonts w:ascii="Arial" w:eastAsia="Calibri" w:hAnsi="Arial" w:cs="Calibri"/>
          <w:bCs/>
          <w:kern w:val="0"/>
          <w:sz w:val="20"/>
          <w:szCs w:val="20"/>
          <w14:ligatures w14:val="none"/>
        </w:rPr>
      </w:pPr>
      <w:r w:rsidRPr="00C315D2">
        <w:rPr>
          <w:rFonts w:ascii="Arial" w:eastAsia="Calibri" w:hAnsi="Arial" w:cs="Calibri"/>
          <w:bCs/>
          <w:kern w:val="0"/>
          <w:sz w:val="20"/>
          <w:szCs w:val="20"/>
          <w14:ligatures w14:val="none"/>
        </w:rPr>
        <w:t xml:space="preserve">Department </w:t>
      </w:r>
      <w:r w:rsidR="00276A06">
        <w:rPr>
          <w:rFonts w:ascii="Arial" w:hAnsi="Arial" w:cs="Calibri" w:hint="eastAsia"/>
          <w:bCs/>
          <w:kern w:val="0"/>
          <w:sz w:val="20"/>
          <w:szCs w:val="20"/>
          <w:lang w:eastAsia="ja-JP"/>
          <w14:ligatures w14:val="none"/>
        </w:rPr>
        <w:t xml:space="preserve">of </w:t>
      </w:r>
      <w:r w:rsidR="0062138B">
        <w:rPr>
          <w:rFonts w:ascii="Arial" w:hAnsi="Arial" w:cs="Calibri" w:hint="eastAsia"/>
          <w:bCs/>
          <w:kern w:val="0"/>
          <w:sz w:val="20"/>
          <w:szCs w:val="20"/>
          <w:lang w:eastAsia="ja-JP"/>
          <w14:ligatures w14:val="none"/>
        </w:rPr>
        <w:t>Pharmacology Toxicology and Therapeutics</w:t>
      </w:r>
      <w:r w:rsidRPr="00C315D2">
        <w:rPr>
          <w:rFonts w:ascii="Arial" w:eastAsia="Calibri" w:hAnsi="Arial" w:cs="Calibri"/>
          <w:bCs/>
          <w:kern w:val="0"/>
          <w:sz w:val="20"/>
          <w:szCs w:val="20"/>
          <w14:ligatures w14:val="none"/>
        </w:rPr>
        <w:t xml:space="preserve">, </w:t>
      </w:r>
      <w:r w:rsidR="0062138B">
        <w:rPr>
          <w:rFonts w:ascii="Arial" w:hAnsi="Arial" w:cs="Calibri" w:hint="eastAsia"/>
          <w:bCs/>
          <w:kern w:val="0"/>
          <w:sz w:val="20"/>
          <w:szCs w:val="20"/>
          <w:lang w:eastAsia="ja-JP"/>
          <w14:ligatures w14:val="none"/>
        </w:rPr>
        <w:t>SHOWA Medical Universit</w:t>
      </w:r>
      <w:r w:rsidR="00DB39D1">
        <w:rPr>
          <w:rFonts w:ascii="Arial" w:hAnsi="Arial" w:cs="Calibri" w:hint="eastAsia"/>
          <w:bCs/>
          <w:kern w:val="0"/>
          <w:sz w:val="20"/>
          <w:szCs w:val="20"/>
          <w:lang w:eastAsia="ja-JP"/>
          <w14:ligatures w14:val="none"/>
        </w:rPr>
        <w:t>y</w:t>
      </w:r>
      <w:r w:rsidRPr="00C315D2">
        <w:rPr>
          <w:rFonts w:ascii="Arial" w:eastAsia="Calibri" w:hAnsi="Arial" w:cs="Calibri"/>
          <w:bCs/>
          <w:kern w:val="0"/>
          <w:sz w:val="20"/>
          <w:szCs w:val="20"/>
          <w:vertAlign w:val="superscript"/>
          <w14:ligatures w14:val="none"/>
        </w:rPr>
        <w:t>2</w:t>
      </w:r>
      <w:r w:rsidRPr="00C315D2">
        <w:rPr>
          <w:rFonts w:ascii="Arial" w:eastAsia="Calibri" w:hAnsi="Arial" w:cs="Calibri"/>
          <w:bCs/>
          <w:kern w:val="0"/>
          <w:sz w:val="20"/>
          <w:szCs w:val="20"/>
          <w14:ligatures w14:val="none"/>
        </w:rPr>
        <w:t xml:space="preserve">, </w:t>
      </w:r>
      <w:r w:rsidR="00DB39D1">
        <w:rPr>
          <w:rFonts w:ascii="Arial" w:hAnsi="Arial" w:cs="Calibri" w:hint="eastAsia"/>
          <w:bCs/>
          <w:kern w:val="0"/>
          <w:sz w:val="20"/>
          <w:szCs w:val="20"/>
          <w:lang w:eastAsia="ja-JP"/>
          <w14:ligatures w14:val="none"/>
        </w:rPr>
        <w:t>Shinagawa</w:t>
      </w:r>
      <w:r w:rsidRPr="00C315D2">
        <w:rPr>
          <w:rFonts w:ascii="Arial" w:eastAsia="Calibri" w:hAnsi="Arial" w:cs="Calibri"/>
          <w:bCs/>
          <w:kern w:val="0"/>
          <w:sz w:val="20"/>
          <w:szCs w:val="20"/>
          <w14:ligatures w14:val="none"/>
        </w:rPr>
        <w:t xml:space="preserve">, </w:t>
      </w:r>
      <w:r w:rsidR="00DB39D1">
        <w:rPr>
          <w:rFonts w:ascii="Arial" w:hAnsi="Arial" w:cs="Calibri" w:hint="eastAsia"/>
          <w:kern w:val="0"/>
          <w:sz w:val="20"/>
          <w:szCs w:val="20"/>
          <w:lang w:eastAsia="ja-JP"/>
          <w14:ligatures w14:val="none"/>
        </w:rPr>
        <w:t>Tokyo</w:t>
      </w:r>
      <w:r w:rsidRPr="00C315D2">
        <w:rPr>
          <w:rFonts w:ascii="Arial" w:eastAsia="Calibri" w:hAnsi="Arial" w:cs="Calibri"/>
          <w:bCs/>
          <w:kern w:val="0"/>
          <w:sz w:val="20"/>
          <w:szCs w:val="20"/>
          <w14:ligatures w14:val="none"/>
        </w:rPr>
        <w:t xml:space="preserve">, </w:t>
      </w:r>
      <w:r w:rsidR="00DB39D1">
        <w:rPr>
          <w:rFonts w:ascii="Arial" w:hAnsi="Arial" w:cs="Calibri" w:hint="eastAsia"/>
          <w:bCs/>
          <w:kern w:val="0"/>
          <w:sz w:val="20"/>
          <w:szCs w:val="20"/>
          <w:lang w:eastAsia="ja-JP"/>
          <w14:ligatures w14:val="none"/>
        </w:rPr>
        <w:t>Japan</w:t>
      </w:r>
      <w:r w:rsidRPr="00C315D2">
        <w:rPr>
          <w:rFonts w:ascii="Arial" w:eastAsia="Calibri" w:hAnsi="Arial" w:cs="Calibri"/>
          <w:bCs/>
          <w:kern w:val="0"/>
          <w:sz w:val="20"/>
          <w:szCs w:val="20"/>
          <w14:ligatures w14:val="none"/>
        </w:rPr>
        <w:t xml:space="preserve">. </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74F13B4" w14:textId="77777777" w:rsidR="00DE666B" w:rsidRPr="00DE666B" w:rsidRDefault="00B8473A" w:rsidP="00DE666B">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DE666B" w:rsidRPr="00DE666B">
        <w:rPr>
          <w:rFonts w:ascii="Arial" w:eastAsia="Calibri" w:hAnsi="Arial" w:cs="Calibri"/>
          <w:bCs/>
          <w:kern w:val="0"/>
          <w:sz w:val="20"/>
          <w:szCs w:val="20"/>
          <w:lang w:val="en-US"/>
          <w14:ligatures w14:val="none"/>
        </w:rPr>
        <w:t xml:space="preserve">Kidney fibrosis initiated by chronic kidney disease-mineral and bone disorder (CKD-MBD) is induced by the secretion of fibroblast growth factor 23 (FGF23) from </w:t>
      </w:r>
      <w:proofErr w:type="gramStart"/>
      <w:r w:rsidR="00DE666B" w:rsidRPr="00DE666B">
        <w:rPr>
          <w:rFonts w:ascii="Arial" w:eastAsia="Calibri" w:hAnsi="Arial" w:cs="Calibri"/>
          <w:bCs/>
          <w:kern w:val="0"/>
          <w:sz w:val="20"/>
          <w:szCs w:val="20"/>
          <w:lang w:val="en-US"/>
          <w14:ligatures w14:val="none"/>
        </w:rPr>
        <w:t>the bone</w:t>
      </w:r>
      <w:proofErr w:type="gramEnd"/>
      <w:r w:rsidR="00DE666B" w:rsidRPr="00DE666B">
        <w:rPr>
          <w:rFonts w:ascii="Arial" w:eastAsia="Calibri" w:hAnsi="Arial" w:cs="Calibri"/>
          <w:bCs/>
          <w:kern w:val="0"/>
          <w:sz w:val="20"/>
          <w:szCs w:val="20"/>
          <w:lang w:val="en-US"/>
          <w14:ligatures w14:val="none"/>
        </w:rPr>
        <w:t xml:space="preserve"> </w:t>
      </w:r>
      <w:r w:rsidR="00DE666B" w:rsidRPr="00DE666B">
        <w:rPr>
          <w:rFonts w:ascii="Arial" w:eastAsia="Calibri" w:hAnsi="Arial" w:cs="Calibri"/>
          <w:bCs/>
          <w:kern w:val="0"/>
          <w:sz w:val="20"/>
          <w:szCs w:val="20"/>
          <w:vertAlign w:val="superscript"/>
          <w:lang w:val="en-US"/>
          <w14:ligatures w14:val="none"/>
        </w:rPr>
        <w:t>1)</w:t>
      </w:r>
      <w:r w:rsidR="00DE666B" w:rsidRPr="00DE666B">
        <w:rPr>
          <w:rFonts w:ascii="Arial" w:eastAsia="Calibri" w:hAnsi="Arial" w:cs="Calibri"/>
          <w:bCs/>
          <w:kern w:val="0"/>
          <w:sz w:val="20"/>
          <w:szCs w:val="20"/>
          <w:lang w:val="en-US"/>
          <w14:ligatures w14:val="none"/>
        </w:rPr>
        <w:t xml:space="preserve">. However, inhibition methods for curing kidney fibrosis associated with CKD-MBD have not been established. In this study, we developed a therapeutic approach for kidney fibrosis using a </w:t>
      </w:r>
      <w:proofErr w:type="spellStart"/>
      <w:r w:rsidR="00DE666B" w:rsidRPr="00DE666B">
        <w:rPr>
          <w:rFonts w:ascii="Arial" w:eastAsia="Calibri" w:hAnsi="Arial" w:cs="Calibri"/>
          <w:bCs/>
          <w:kern w:val="0"/>
          <w:sz w:val="20"/>
          <w:szCs w:val="20"/>
          <w:lang w:val="en-US"/>
          <w14:ligatures w14:val="none"/>
        </w:rPr>
        <w:t>diblock</w:t>
      </w:r>
      <w:proofErr w:type="spellEnd"/>
      <w:r w:rsidR="00DE666B" w:rsidRPr="00DE666B">
        <w:rPr>
          <w:rFonts w:ascii="Arial" w:eastAsia="Calibri" w:hAnsi="Arial" w:cs="Calibri"/>
          <w:bCs/>
          <w:kern w:val="0"/>
          <w:sz w:val="20"/>
          <w:szCs w:val="20"/>
          <w:lang w:val="en-US"/>
          <w14:ligatures w14:val="none"/>
        </w:rPr>
        <w:t xml:space="preserve"> co-polypeptide (</w:t>
      </w:r>
      <w:proofErr w:type="spellStart"/>
      <w:r w:rsidR="00DE666B" w:rsidRPr="00DE666B">
        <w:rPr>
          <w:rFonts w:ascii="Arial" w:eastAsia="Calibri" w:hAnsi="Arial" w:cs="Calibri"/>
          <w:bCs/>
          <w:kern w:val="0"/>
          <w:sz w:val="20"/>
          <w:szCs w:val="20"/>
          <w:lang w:val="en-US"/>
          <w14:ligatures w14:val="none"/>
        </w:rPr>
        <w:t>polyD</w:t>
      </w:r>
      <w:proofErr w:type="spellEnd"/>
      <w:r w:rsidR="00DE666B" w:rsidRPr="00DE666B">
        <w:rPr>
          <w:rFonts w:ascii="Arial" w:eastAsia="Calibri" w:hAnsi="Arial" w:cs="Calibri"/>
          <w:bCs/>
          <w:kern w:val="0"/>
          <w:sz w:val="20"/>
          <w:szCs w:val="20"/>
          <w:lang w:val="en-US"/>
          <w14:ligatures w14:val="none"/>
        </w:rPr>
        <w:t>-poly(D/F</w:t>
      </w:r>
      <w:proofErr w:type="gramStart"/>
      <w:r w:rsidR="00DE666B" w:rsidRPr="00DE666B">
        <w:rPr>
          <w:rFonts w:ascii="Arial" w:eastAsia="Calibri" w:hAnsi="Arial" w:cs="Calibri"/>
          <w:bCs/>
          <w:kern w:val="0"/>
          <w:sz w:val="20"/>
          <w:szCs w:val="20"/>
          <w:lang w:val="en-US"/>
          <w14:ligatures w14:val="none"/>
        </w:rPr>
        <w:t>)</w:t>
      </w:r>
      <w:r w:rsidR="00DE666B" w:rsidRPr="00DE666B">
        <w:rPr>
          <w:rFonts w:ascii="Arial" w:eastAsia="Calibri" w:hAnsi="Arial" w:cs="Calibri"/>
          <w:bCs/>
          <w:kern w:val="0"/>
          <w:sz w:val="20"/>
          <w:szCs w:val="20"/>
          <w:vertAlign w:val="subscript"/>
          <w:lang w:val="en-US"/>
          <w14:ligatures w14:val="none"/>
        </w:rPr>
        <w:t>n</w:t>
      </w:r>
      <w:proofErr w:type="gramEnd"/>
      <w:r w:rsidR="00DE666B" w:rsidRPr="00DE666B">
        <w:rPr>
          <w:rFonts w:ascii="Arial" w:eastAsia="Calibri" w:hAnsi="Arial" w:cs="Calibri"/>
          <w:bCs/>
          <w:kern w:val="0"/>
          <w:sz w:val="20"/>
          <w:szCs w:val="20"/>
          <w:lang w:val="en-US"/>
          <w14:ligatures w14:val="none"/>
        </w:rPr>
        <w:t xml:space="preserve"> abbreviated as DDF).</w:t>
      </w:r>
    </w:p>
    <w:p w14:paraId="2385039D" w14:textId="1FB3B49D"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681FFF6E" w14:textId="77777777" w:rsidR="0069419E" w:rsidRPr="0069419E" w:rsidRDefault="00C315D2" w:rsidP="0069419E">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69419E" w:rsidRPr="0069419E">
        <w:rPr>
          <w:rFonts w:ascii="Arial" w:eastAsia="Calibri" w:hAnsi="Arial" w:cs="Calibri"/>
          <w:bCs/>
          <w:kern w:val="0"/>
          <w:sz w:val="20"/>
          <w:szCs w:val="20"/>
          <w:lang w:val="en-US"/>
          <w14:ligatures w14:val="none"/>
        </w:rPr>
        <w:t>Fluorescein isothiocyanate-</w:t>
      </w:r>
      <w:proofErr w:type="spellStart"/>
      <w:r w:rsidR="0069419E" w:rsidRPr="0069419E">
        <w:rPr>
          <w:rFonts w:ascii="Arial" w:eastAsia="Calibri" w:hAnsi="Arial" w:cs="Calibri"/>
          <w:bCs/>
          <w:kern w:val="0"/>
          <w:sz w:val="20"/>
          <w:szCs w:val="20"/>
          <w:lang w:val="en-US"/>
          <w14:ligatures w14:val="none"/>
        </w:rPr>
        <w:t>labaled</w:t>
      </w:r>
      <w:proofErr w:type="spellEnd"/>
      <w:r w:rsidR="0069419E" w:rsidRPr="0069419E">
        <w:rPr>
          <w:rFonts w:ascii="Arial" w:eastAsia="Calibri" w:hAnsi="Arial" w:cs="Calibri"/>
          <w:bCs/>
          <w:kern w:val="0"/>
          <w:sz w:val="20"/>
          <w:szCs w:val="20"/>
          <w:lang w:val="en-US"/>
          <w14:ligatures w14:val="none"/>
        </w:rPr>
        <w:t xml:space="preserve"> DDF encapsulating GW0742, a peroxisome proliferator-activated receptor γ agonist, (FITC-DDF-GW) was intravenously injected into mice and the lower limb bones were removed under euthanized. Undecalcified frontal tissue sections were prepared from the distal femur and proximal tibia. Cathepsin K, collagen I, and phalloidin were stained using immunofluorescent. The sections were observed under a confocal microscope. DDF-GW was injected into the CKD-MBD model mice. The lower limbs of the mice were heated at 44–45°C for 10 min under anesthesia after DDF-GW injection, and blood was collected from the tail vein to obtain serum for FGF23 and phosphorus level evaluation.</w:t>
      </w:r>
    </w:p>
    <w:p w14:paraId="48C0479A" w14:textId="2E970CBB" w:rsidR="00C315D2" w:rsidRPr="0069419E" w:rsidRDefault="00C315D2" w:rsidP="00C315D2">
      <w:pPr>
        <w:spacing w:after="0" w:line="240" w:lineRule="auto"/>
        <w:jc w:val="both"/>
        <w:rPr>
          <w:rFonts w:ascii="Arial" w:hAnsi="Arial" w:cs="Calibri"/>
          <w:bCs/>
          <w:kern w:val="0"/>
          <w:sz w:val="20"/>
          <w:szCs w:val="20"/>
          <w:lang w:val="en-US" w:eastAsia="ja-JP"/>
          <w14:ligatures w14:val="none"/>
        </w:rPr>
      </w:pPr>
    </w:p>
    <w:p w14:paraId="58EE2702" w14:textId="561CD937" w:rsidR="00C315D2" w:rsidRPr="00C05D5D" w:rsidRDefault="00795378" w:rsidP="2021B9E9">
      <w:pPr>
        <w:spacing w:after="0" w:line="240" w:lineRule="auto"/>
        <w:jc w:val="both"/>
        <w:rPr>
          <w:rFonts w:ascii="Arial" w:hAnsi="Arial" w:cs="Calibri"/>
          <w:kern w:val="0"/>
          <w:sz w:val="20"/>
          <w:szCs w:val="20"/>
          <w:lang w:val="en-US" w:eastAsia="ja-JP"/>
          <w14:ligatures w14:val="none"/>
        </w:rPr>
      </w:pPr>
      <w:r w:rsidRPr="2021B9E9">
        <w:rPr>
          <w:rFonts w:ascii="Arial" w:eastAsia="Calibri" w:hAnsi="Arial" w:cs="Calibri"/>
          <w:b/>
          <w:bCs/>
          <w:kern w:val="0"/>
          <w:sz w:val="20"/>
          <w:szCs w:val="20"/>
          <w14:ligatures w14:val="none"/>
        </w:rPr>
        <w:t>Results.</w:t>
      </w:r>
      <w:r w:rsidR="00C05D5D">
        <w:rPr>
          <w:rFonts w:ascii="Calibri" w:hAnsi="Calibri" w:cs="Times New Roman" w:hint="eastAsia"/>
          <w:kern w:val="0"/>
          <w:lang w:val="en-GB" w:eastAsia="ja-JP"/>
          <w14:ligatures w14:val="none"/>
        </w:rPr>
        <w:t xml:space="preserve"> </w:t>
      </w:r>
      <w:r w:rsidR="00332097" w:rsidRPr="00332097">
        <w:rPr>
          <w:rFonts w:ascii="Arial" w:hAnsi="Arial" w:cs="Calibri"/>
          <w:kern w:val="0"/>
          <w:sz w:val="20"/>
          <w:szCs w:val="20"/>
          <w:lang w:val="en-US" w:eastAsia="ja-JP"/>
          <w14:ligatures w14:val="none"/>
        </w:rPr>
        <w:t>Circular dichroism and linear dichroism showed that DDF has an alpha-helical structure and an orientation perpendicular to the helical axis. Atomic force microscopy revealed that DDF self-assembled into spherical structures approximately 70 nm in diameter.</w:t>
      </w:r>
      <w:r w:rsidR="00332097">
        <w:rPr>
          <w:rFonts w:ascii="Arial" w:hAnsi="Arial" w:cs="Calibri" w:hint="eastAsia"/>
          <w:kern w:val="0"/>
          <w:sz w:val="20"/>
          <w:szCs w:val="20"/>
          <w:lang w:val="en-US" w:eastAsia="ja-JP"/>
          <w14:ligatures w14:val="none"/>
        </w:rPr>
        <w:t xml:space="preserve"> </w:t>
      </w:r>
      <w:r w:rsidR="00332097">
        <w:rPr>
          <w:rFonts w:ascii="Arial" w:hAnsi="Arial" w:cs="Calibri"/>
          <w:kern w:val="0"/>
          <w:sz w:val="20"/>
          <w:szCs w:val="20"/>
          <w:lang w:val="en-US" w:eastAsia="ja-JP"/>
          <w14:ligatures w14:val="none"/>
        </w:rPr>
        <w:t>DDF</w:t>
      </w:r>
      <w:r w:rsidR="00C05D5D" w:rsidRPr="00C05D5D">
        <w:rPr>
          <w:rFonts w:ascii="Arial" w:hAnsi="Arial" w:cs="Calibri"/>
          <w:kern w:val="0"/>
          <w:sz w:val="20"/>
          <w:szCs w:val="20"/>
          <w:lang w:val="en-US" w:eastAsia="ja-JP"/>
          <w14:ligatures w14:val="none"/>
        </w:rPr>
        <w:t xml:space="preserve"> exhibited thermo-responsiv</w:t>
      </w:r>
      <w:r w:rsidR="00D30BE0">
        <w:rPr>
          <w:rFonts w:ascii="Arial" w:hAnsi="Arial" w:cs="Calibri" w:hint="eastAsia"/>
          <w:kern w:val="0"/>
          <w:sz w:val="20"/>
          <w:szCs w:val="20"/>
          <w:lang w:val="en-US" w:eastAsia="ja-JP"/>
          <w14:ligatures w14:val="none"/>
        </w:rPr>
        <w:t>e</w:t>
      </w:r>
      <w:r w:rsidR="00C05D5D" w:rsidRPr="00C05D5D">
        <w:rPr>
          <w:rFonts w:ascii="Arial" w:hAnsi="Arial" w:cs="Calibri"/>
          <w:kern w:val="0"/>
          <w:sz w:val="20"/>
          <w:szCs w:val="20"/>
          <w:lang w:val="en-US" w:eastAsia="ja-JP"/>
          <w14:ligatures w14:val="none"/>
        </w:rPr>
        <w:t xml:space="preserve"> up to 45°C and released GW0742 in a temperature-dependent manner. DDF-GW was distributed in the lower limb bone at approximately 9.9% of the GW0742 dose/g of tissue</w:t>
      </w:r>
      <w:r w:rsidR="008C204E">
        <w:rPr>
          <w:rFonts w:ascii="Arial" w:hAnsi="Arial" w:cs="Calibri"/>
          <w:kern w:val="0"/>
          <w:sz w:val="20"/>
          <w:szCs w:val="20"/>
          <w:lang w:val="en-US" w:eastAsia="ja-JP"/>
          <w14:ligatures w14:val="none"/>
        </w:rPr>
        <w:t xml:space="preserve"> up to </w:t>
      </w:r>
      <w:r w:rsidR="005E5828">
        <w:rPr>
          <w:rFonts w:ascii="Arial" w:hAnsi="Arial" w:cs="Calibri"/>
          <w:kern w:val="0"/>
          <w:sz w:val="20"/>
          <w:szCs w:val="20"/>
          <w:lang w:val="en-US" w:eastAsia="ja-JP"/>
          <w14:ligatures w14:val="none"/>
        </w:rPr>
        <w:t>1h after injection</w:t>
      </w:r>
      <w:r w:rsidR="00C05D5D" w:rsidRPr="00C05D5D">
        <w:rPr>
          <w:rFonts w:ascii="Arial" w:hAnsi="Arial" w:cs="Calibri"/>
          <w:kern w:val="0"/>
          <w:sz w:val="20"/>
          <w:szCs w:val="20"/>
          <w:lang w:val="en-US" w:eastAsia="ja-JP"/>
          <w14:ligatures w14:val="none"/>
        </w:rPr>
        <w:t>. Micro-distribution analysis of the lower limb bone</w:t>
      </w:r>
      <w:r w:rsidR="004F4BC6">
        <w:rPr>
          <w:rFonts w:ascii="Arial" w:hAnsi="Arial" w:cs="Calibri" w:hint="eastAsia"/>
          <w:kern w:val="0"/>
          <w:sz w:val="20"/>
          <w:szCs w:val="20"/>
          <w:lang w:val="en-US" w:eastAsia="ja-JP"/>
          <w14:ligatures w14:val="none"/>
        </w:rPr>
        <w:t>s</w:t>
      </w:r>
      <w:r w:rsidR="00C05D5D" w:rsidRPr="00C05D5D">
        <w:rPr>
          <w:rFonts w:ascii="Arial" w:hAnsi="Arial" w:cs="Calibri"/>
          <w:kern w:val="0"/>
          <w:sz w:val="20"/>
          <w:szCs w:val="20"/>
          <w:lang w:val="en-US" w:eastAsia="ja-JP"/>
          <w14:ligatures w14:val="none"/>
        </w:rPr>
        <w:t xml:space="preserve"> in mice revealed that FITC-DDF</w:t>
      </w:r>
      <w:r w:rsidR="00D56C53">
        <w:rPr>
          <w:rFonts w:ascii="Arial" w:hAnsi="Arial" w:cs="Calibri"/>
          <w:kern w:val="0"/>
          <w:sz w:val="20"/>
          <w:szCs w:val="20"/>
          <w:lang w:val="en-US" w:eastAsia="ja-JP"/>
          <w14:ligatures w14:val="none"/>
        </w:rPr>
        <w:t>-GW</w:t>
      </w:r>
      <w:r w:rsidR="00C05D5D" w:rsidRPr="00C05D5D">
        <w:rPr>
          <w:rFonts w:ascii="Arial" w:hAnsi="Arial" w:cs="Calibri"/>
          <w:kern w:val="0"/>
          <w:sz w:val="20"/>
          <w:szCs w:val="20"/>
          <w:lang w:val="en-US" w:eastAsia="ja-JP"/>
          <w14:ligatures w14:val="none"/>
        </w:rPr>
        <w:t xml:space="preserve"> was distributed in the osteocyte dendritic network. In the CKD-MBD mouse models, </w:t>
      </w:r>
      <w:r w:rsidR="001464DE">
        <w:rPr>
          <w:rFonts w:ascii="Arial" w:hAnsi="Arial" w:cs="Calibri" w:hint="eastAsia"/>
          <w:kern w:val="0"/>
          <w:sz w:val="20"/>
          <w:szCs w:val="20"/>
          <w:lang w:val="en-US" w:eastAsia="ja-JP"/>
          <w14:ligatures w14:val="none"/>
        </w:rPr>
        <w:t xml:space="preserve">the </w:t>
      </w:r>
      <w:r w:rsidR="00C05D5D" w:rsidRPr="00C05D5D">
        <w:rPr>
          <w:rFonts w:ascii="Arial" w:hAnsi="Arial" w:cs="Calibri"/>
          <w:kern w:val="0"/>
          <w:sz w:val="20"/>
          <w:szCs w:val="20"/>
          <w:lang w:val="en-US" w:eastAsia="ja-JP"/>
          <w14:ligatures w14:val="none"/>
        </w:rPr>
        <w:t>combination of DDF-GW administration and lower limb heating significantly decreased blood FGF23 levels at 6 h post-treatment to 1/5</w:t>
      </w:r>
      <w:r w:rsidR="00C05D5D" w:rsidRPr="00C05D5D">
        <w:rPr>
          <w:rFonts w:ascii="Arial" w:hAnsi="Arial" w:cs="Calibri"/>
          <w:kern w:val="0"/>
          <w:sz w:val="20"/>
          <w:szCs w:val="20"/>
          <w:vertAlign w:val="superscript"/>
          <w:lang w:val="en-US" w:eastAsia="ja-JP"/>
          <w14:ligatures w14:val="none"/>
        </w:rPr>
        <w:t>th</w:t>
      </w:r>
      <w:r w:rsidR="00C05D5D" w:rsidRPr="00C05D5D">
        <w:rPr>
          <w:rFonts w:ascii="Arial" w:hAnsi="Arial" w:cs="Calibri"/>
          <w:kern w:val="0"/>
          <w:sz w:val="20"/>
          <w:szCs w:val="20"/>
          <w:lang w:val="en-US" w:eastAsia="ja-JP"/>
          <w14:ligatures w14:val="none"/>
        </w:rPr>
        <w:t xml:space="preserve"> of that before treatment.</w:t>
      </w:r>
    </w:p>
    <w:p w14:paraId="777A9E0F" w14:textId="7A596E86" w:rsidR="2021B9E9" w:rsidRDefault="00671F73" w:rsidP="2021B9E9">
      <w:pPr>
        <w:spacing w:after="0" w:line="240" w:lineRule="auto"/>
        <w:jc w:val="both"/>
        <w:rPr>
          <w:rFonts w:ascii="Arial" w:hAnsi="Arial" w:cs="Calibri"/>
          <w:sz w:val="20"/>
          <w:szCs w:val="20"/>
          <w:lang w:val="en-US" w:eastAsia="ja-JP"/>
        </w:rPr>
      </w:pPr>
      <w:r>
        <w:rPr>
          <w:rFonts w:ascii="Arial" w:hAnsi="Arial" w:cs="Calibri"/>
          <w:noProof/>
          <w:sz w:val="20"/>
          <w:szCs w:val="20"/>
          <w:lang w:val="en-US" w:eastAsia="ja-JP"/>
        </w:rPr>
        <w:drawing>
          <wp:anchor distT="0" distB="0" distL="114300" distR="114300" simplePos="0" relativeHeight="251658240" behindDoc="0" locked="0" layoutInCell="1" allowOverlap="1" wp14:anchorId="5AA6427F" wp14:editId="2681FB8F">
            <wp:simplePos x="0" y="0"/>
            <wp:positionH relativeFrom="column">
              <wp:posOffset>0</wp:posOffset>
            </wp:positionH>
            <wp:positionV relativeFrom="paragraph">
              <wp:posOffset>635</wp:posOffset>
            </wp:positionV>
            <wp:extent cx="2908300" cy="1615440"/>
            <wp:effectExtent l="0" t="0" r="6350" b="3810"/>
            <wp:wrapNone/>
            <wp:docPr id="9445871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300" cy="1615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59F80" w14:textId="4965B7ED" w:rsidR="005A353A" w:rsidRDefault="005A353A" w:rsidP="2021B9E9">
      <w:pPr>
        <w:spacing w:after="0" w:line="240" w:lineRule="auto"/>
        <w:jc w:val="both"/>
        <w:rPr>
          <w:rFonts w:ascii="Arial" w:hAnsi="Arial" w:cs="Calibri"/>
          <w:sz w:val="20"/>
          <w:szCs w:val="20"/>
          <w:lang w:val="en-US" w:eastAsia="ja-JP"/>
        </w:rPr>
      </w:pPr>
    </w:p>
    <w:p w14:paraId="038CDFE7" w14:textId="77777777" w:rsidR="005A353A" w:rsidRDefault="005A353A" w:rsidP="2021B9E9">
      <w:pPr>
        <w:spacing w:after="0" w:line="240" w:lineRule="auto"/>
        <w:jc w:val="both"/>
        <w:rPr>
          <w:rFonts w:ascii="Arial" w:hAnsi="Arial" w:cs="Calibri"/>
          <w:sz w:val="20"/>
          <w:szCs w:val="20"/>
          <w:lang w:val="en-US" w:eastAsia="ja-JP"/>
        </w:rPr>
      </w:pPr>
    </w:p>
    <w:p w14:paraId="2A5A31D8" w14:textId="77777777" w:rsidR="005A353A" w:rsidRDefault="005A353A" w:rsidP="2021B9E9">
      <w:pPr>
        <w:spacing w:after="0" w:line="240" w:lineRule="auto"/>
        <w:jc w:val="both"/>
        <w:rPr>
          <w:rFonts w:ascii="Arial" w:hAnsi="Arial" w:cs="Calibri"/>
          <w:sz w:val="20"/>
          <w:szCs w:val="20"/>
          <w:lang w:val="en-US" w:eastAsia="ja-JP"/>
        </w:rPr>
      </w:pPr>
    </w:p>
    <w:p w14:paraId="11F111A2" w14:textId="5A248DE3" w:rsidR="005A353A" w:rsidRDefault="005A353A" w:rsidP="2021B9E9">
      <w:pPr>
        <w:spacing w:after="0" w:line="240" w:lineRule="auto"/>
        <w:jc w:val="both"/>
        <w:rPr>
          <w:rFonts w:ascii="Arial" w:hAnsi="Arial" w:cs="Calibri"/>
          <w:sz w:val="20"/>
          <w:szCs w:val="20"/>
          <w:lang w:val="en-US" w:eastAsia="ja-JP"/>
        </w:rPr>
      </w:pPr>
    </w:p>
    <w:p w14:paraId="31D6C5F1" w14:textId="77777777" w:rsidR="005A353A" w:rsidRPr="005A353A" w:rsidRDefault="005A353A" w:rsidP="2021B9E9">
      <w:pPr>
        <w:spacing w:after="0" w:line="240" w:lineRule="auto"/>
        <w:jc w:val="both"/>
        <w:rPr>
          <w:rFonts w:ascii="Arial" w:hAnsi="Arial" w:cs="Calibri"/>
          <w:sz w:val="20"/>
          <w:szCs w:val="20"/>
          <w:lang w:val="en-US" w:eastAsia="ja-JP"/>
        </w:rPr>
      </w:pPr>
    </w:p>
    <w:p w14:paraId="37012700" w14:textId="6812652B" w:rsidR="00C315D2" w:rsidRDefault="00C315D2" w:rsidP="00C315D2">
      <w:pPr>
        <w:spacing w:after="0" w:line="240" w:lineRule="auto"/>
        <w:jc w:val="both"/>
        <w:rPr>
          <w:rFonts w:ascii="Arial" w:eastAsia="Calibri" w:hAnsi="Arial" w:cs="Calibri"/>
          <w:b/>
          <w:kern w:val="0"/>
          <w:sz w:val="20"/>
          <w:szCs w:val="20"/>
          <w14:ligatures w14:val="none"/>
        </w:rPr>
      </w:pPr>
    </w:p>
    <w:p w14:paraId="15EB0532" w14:textId="19D0DC32" w:rsidR="00C315D2" w:rsidRDefault="00C315D2" w:rsidP="00C315D2">
      <w:pPr>
        <w:spacing w:after="0" w:line="240" w:lineRule="auto"/>
        <w:jc w:val="both"/>
        <w:rPr>
          <w:rFonts w:ascii="Arial" w:eastAsia="Calibri" w:hAnsi="Arial" w:cs="Calibri"/>
          <w:b/>
          <w:kern w:val="0"/>
          <w:sz w:val="20"/>
          <w:szCs w:val="20"/>
          <w14:ligatures w14:val="none"/>
        </w:rPr>
      </w:pPr>
    </w:p>
    <w:p w14:paraId="670F9BAF" w14:textId="77777777" w:rsidR="00C315D2" w:rsidRPr="00C315D2" w:rsidRDefault="00C315D2" w:rsidP="00C315D2">
      <w:pPr>
        <w:jc w:val="both"/>
        <w:rPr>
          <w:rFonts w:ascii="Arial" w:eastAsia="Calibri" w:hAnsi="Arial" w:cs="Calibri"/>
          <w:sz w:val="20"/>
          <w:szCs w:val="20"/>
        </w:rPr>
      </w:pPr>
    </w:p>
    <w:p w14:paraId="5D65706F" w14:textId="77777777" w:rsidR="00C315D2" w:rsidRPr="00731688" w:rsidRDefault="00C315D2" w:rsidP="00C315D2">
      <w:pPr>
        <w:spacing w:after="0" w:line="240" w:lineRule="auto"/>
        <w:jc w:val="both"/>
        <w:rPr>
          <w:rFonts w:ascii="Arial" w:eastAsia="Calibri" w:hAnsi="Arial" w:cs="Calibri"/>
          <w:b/>
          <w:kern w:val="0"/>
          <w:sz w:val="20"/>
          <w:szCs w:val="20"/>
          <w14:ligatures w14:val="none"/>
        </w:rPr>
      </w:pPr>
    </w:p>
    <w:p w14:paraId="7A6A1625" w14:textId="511A4875" w:rsidR="00C315D2" w:rsidRDefault="00C315D2" w:rsidP="00C315D2">
      <w:pPr>
        <w:spacing w:after="0" w:line="240" w:lineRule="auto"/>
        <w:jc w:val="both"/>
        <w:rPr>
          <w:rFonts w:ascii="Arial" w:eastAsia="Calibri" w:hAnsi="Arial" w:cs="Calibri"/>
          <w:b/>
          <w:kern w:val="0"/>
          <w:sz w:val="20"/>
          <w:szCs w:val="20"/>
          <w14:ligatures w14:val="none"/>
        </w:rPr>
      </w:pPr>
    </w:p>
    <w:p w14:paraId="44719324" w14:textId="16370091" w:rsidR="00C315D2" w:rsidRPr="009B2C37" w:rsidRDefault="00C315D2" w:rsidP="2021B9E9">
      <w:pPr>
        <w:spacing w:after="0" w:line="240" w:lineRule="auto"/>
        <w:jc w:val="both"/>
        <w:rPr>
          <w:rFonts w:ascii="Arial" w:hAnsi="Arial" w:cs="Calibri"/>
          <w:kern w:val="0"/>
          <w:sz w:val="20"/>
          <w:szCs w:val="20"/>
          <w:lang w:val="en-GB" w:eastAsia="ja-JP"/>
          <w14:ligatures w14:val="none"/>
        </w:rPr>
      </w:pPr>
      <w:r w:rsidRPr="2021B9E9">
        <w:rPr>
          <w:rFonts w:ascii="Arial" w:eastAsia="Calibri" w:hAnsi="Arial" w:cs="Calibri"/>
          <w:b/>
          <w:bCs/>
          <w:kern w:val="0"/>
          <w:sz w:val="20"/>
          <w:szCs w:val="20"/>
          <w:lang w:val="en-GB"/>
          <w14:ligatures w14:val="none"/>
        </w:rPr>
        <w:t>Figure 1.</w:t>
      </w:r>
      <w:r w:rsidR="004C13A0">
        <w:rPr>
          <w:rFonts w:ascii="Arial" w:hAnsi="Arial" w:cs="Calibri" w:hint="eastAsia"/>
          <w:kern w:val="0"/>
          <w:sz w:val="20"/>
          <w:szCs w:val="20"/>
          <w:lang w:val="en-GB" w:eastAsia="ja-JP"/>
          <w14:ligatures w14:val="none"/>
        </w:rPr>
        <w:t xml:space="preserve"> </w:t>
      </w:r>
      <w:r w:rsidR="00E84A89" w:rsidRPr="00E84A89">
        <w:rPr>
          <w:rFonts w:ascii="Arial" w:hAnsi="Arial" w:cs="Calibri"/>
          <w:kern w:val="0"/>
          <w:sz w:val="20"/>
          <w:szCs w:val="20"/>
          <w:lang w:val="en-GB" w:eastAsia="ja-JP"/>
          <w14:ligatures w14:val="none"/>
        </w:rPr>
        <w:t xml:space="preserve">Diagram of DDF-GW (top panel). DDF is thermo-responsive (left </w:t>
      </w:r>
      <w:r w:rsidR="00E84A89">
        <w:rPr>
          <w:rFonts w:ascii="Arial" w:hAnsi="Arial" w:cs="Calibri" w:hint="eastAsia"/>
          <w:kern w:val="0"/>
          <w:sz w:val="20"/>
          <w:szCs w:val="20"/>
          <w:lang w:val="en-GB" w:eastAsia="ja-JP"/>
          <w14:ligatures w14:val="none"/>
        </w:rPr>
        <w:t>panel</w:t>
      </w:r>
      <w:r w:rsidR="00E84A89" w:rsidRPr="00E84A89">
        <w:rPr>
          <w:rFonts w:ascii="Arial" w:hAnsi="Arial" w:cs="Calibri"/>
          <w:kern w:val="0"/>
          <w:sz w:val="20"/>
          <w:szCs w:val="20"/>
          <w:lang w:val="en-GB" w:eastAsia="ja-JP"/>
          <w14:ligatures w14:val="none"/>
        </w:rPr>
        <w:t>). Additionally, DDF was distributed in the osteocyte dendritic network (right panel).</w:t>
      </w:r>
    </w:p>
    <w:p w14:paraId="37683296" w14:textId="77777777" w:rsidR="00C315D2" w:rsidRPr="003A1780" w:rsidRDefault="00C315D2" w:rsidP="00C315D2">
      <w:pPr>
        <w:spacing w:after="0" w:line="240" w:lineRule="auto"/>
        <w:jc w:val="both"/>
        <w:rPr>
          <w:rFonts w:ascii="Arial" w:eastAsia="Calibri" w:hAnsi="Arial" w:cs="Calibri"/>
          <w:b/>
          <w:kern w:val="0"/>
          <w:sz w:val="20"/>
          <w:szCs w:val="20"/>
          <w:lang w:val="en-GB"/>
          <w14:ligatures w14:val="none"/>
        </w:rPr>
      </w:pPr>
    </w:p>
    <w:p w14:paraId="65E846CD" w14:textId="09FC3B6B" w:rsidR="00C315D2" w:rsidRPr="003E35E4" w:rsidRDefault="00B8473A" w:rsidP="00C315D2">
      <w:pPr>
        <w:spacing w:after="0" w:line="240" w:lineRule="auto"/>
        <w:jc w:val="both"/>
        <w:rPr>
          <w:rFonts w:ascii="Arial" w:hAnsi="Arial" w:cs="Calibri"/>
          <w:bCs/>
          <w:kern w:val="0"/>
          <w:sz w:val="20"/>
          <w:szCs w:val="20"/>
          <w:lang w:val="en-US" w:eastAsia="ja-JP"/>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3E35E4" w:rsidRPr="003E35E4">
        <w:rPr>
          <w:rFonts w:ascii="Arial" w:hAnsi="Arial" w:cs="Calibri"/>
          <w:bCs/>
          <w:kern w:val="0"/>
          <w:sz w:val="20"/>
          <w:szCs w:val="20"/>
          <w:lang w:val="en-US" w:eastAsia="ja-JP"/>
          <w14:ligatures w14:val="none"/>
        </w:rPr>
        <w:t>We designed a bone-targeting self-assembly (DDF) composed entirely of amino acids, using a pharmacokinetic approach. The DDF was thermo</w:t>
      </w:r>
      <w:r w:rsidR="003E35E4">
        <w:rPr>
          <w:rFonts w:ascii="Arial" w:hAnsi="Arial" w:cs="Calibri" w:hint="eastAsia"/>
          <w:bCs/>
          <w:kern w:val="0"/>
          <w:sz w:val="20"/>
          <w:szCs w:val="20"/>
          <w:lang w:val="en-US" w:eastAsia="ja-JP"/>
          <w14:ligatures w14:val="none"/>
        </w:rPr>
        <w:t>-</w:t>
      </w:r>
      <w:r w:rsidR="003E35E4" w:rsidRPr="003E35E4">
        <w:rPr>
          <w:rFonts w:ascii="Arial" w:hAnsi="Arial" w:cs="Calibri"/>
          <w:bCs/>
          <w:kern w:val="0"/>
          <w:sz w:val="20"/>
          <w:szCs w:val="20"/>
          <w:lang w:val="en-US" w:eastAsia="ja-JP"/>
          <w14:ligatures w14:val="none"/>
        </w:rPr>
        <w:t>responsive. Fluorescence immunostaining of DDF in the bone showed that DDF accumulated in osteocytes through the bone canaliculi network. DDF-GW exhibited short-term regulation of FGF23 secretion. These results suggest that DDF may be a next-generation drug delivery material for efficient bone targeting in bone-related diseases.</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2C801966" w14:textId="6859AB38"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7D6E388F" w14:textId="7E45C5CC" w:rsidR="00113BB7" w:rsidRPr="002479A9" w:rsidRDefault="00C315D2" w:rsidP="002479A9">
      <w:pPr>
        <w:spacing w:after="0" w:line="240" w:lineRule="auto"/>
        <w:jc w:val="both"/>
        <w:rPr>
          <w:rFonts w:ascii="Arial" w:hAnsi="Arial" w:cs="Calibri"/>
          <w:bCs/>
          <w:kern w:val="0"/>
          <w:sz w:val="20"/>
          <w:szCs w:val="20"/>
          <w:lang w:val="en-US" w:eastAsia="ja-JP"/>
          <w14:ligatures w14:val="none"/>
        </w:rPr>
      </w:pPr>
      <w:r w:rsidRPr="00C315D2">
        <w:rPr>
          <w:rFonts w:ascii="Arial" w:eastAsia="Calibri" w:hAnsi="Arial" w:cs="Calibri"/>
          <w:bCs/>
          <w:kern w:val="0"/>
          <w:sz w:val="20"/>
          <w:szCs w:val="20"/>
          <w:lang w:val="en-US"/>
          <w14:ligatures w14:val="none"/>
        </w:rPr>
        <w:t xml:space="preserve">(1) </w:t>
      </w:r>
      <w:r w:rsidR="005358F9" w:rsidRPr="005358F9">
        <w:rPr>
          <w:rFonts w:ascii="Arial" w:eastAsia="Calibri" w:hAnsi="Arial" w:cs="Calibri"/>
          <w:bCs/>
          <w:kern w:val="0"/>
          <w:sz w:val="20"/>
          <w:szCs w:val="20"/>
          <w:lang w:val="en-US"/>
          <w14:ligatures w14:val="none"/>
        </w:rPr>
        <w:t>Kuro-o, M</w:t>
      </w:r>
      <w:r>
        <w:rPr>
          <w:rFonts w:ascii="Arial" w:eastAsia="Calibri" w:hAnsi="Arial" w:cs="Calibri"/>
          <w:bCs/>
          <w:kern w:val="0"/>
          <w:sz w:val="20"/>
          <w:szCs w:val="20"/>
          <w:lang w:val="en-US"/>
          <w14:ligatures w14:val="none"/>
        </w:rPr>
        <w:t>.</w:t>
      </w:r>
      <w:r w:rsidRPr="00C315D2">
        <w:rPr>
          <w:rFonts w:ascii="Arial" w:eastAsia="Calibri" w:hAnsi="Arial" w:cs="Calibri"/>
          <w:bCs/>
          <w:kern w:val="0"/>
          <w:sz w:val="20"/>
          <w:szCs w:val="20"/>
          <w:lang w:val="en-US"/>
          <w14:ligatures w14:val="none"/>
        </w:rPr>
        <w:t xml:space="preserve"> (20</w:t>
      </w:r>
      <w:r w:rsidR="005358F9">
        <w:rPr>
          <w:rFonts w:ascii="Arial" w:hAnsi="Arial" w:cs="Calibri" w:hint="eastAsia"/>
          <w:bCs/>
          <w:kern w:val="0"/>
          <w:sz w:val="20"/>
          <w:szCs w:val="20"/>
          <w:lang w:val="en-US" w:eastAsia="ja-JP"/>
          <w14:ligatures w14:val="none"/>
        </w:rPr>
        <w:t>13</w:t>
      </w:r>
      <w:r w:rsidRPr="00C315D2">
        <w:rPr>
          <w:rFonts w:ascii="Arial" w:eastAsia="Calibri" w:hAnsi="Arial" w:cs="Calibri"/>
          <w:bCs/>
          <w:kern w:val="0"/>
          <w:sz w:val="20"/>
          <w:szCs w:val="20"/>
          <w:lang w:val="en-US"/>
          <w14:ligatures w14:val="none"/>
        </w:rPr>
        <w:t xml:space="preserve">) </w:t>
      </w:r>
      <w:r w:rsidR="002479A9" w:rsidRPr="002479A9">
        <w:rPr>
          <w:rFonts w:ascii="Arial" w:eastAsia="Calibri" w:hAnsi="Arial" w:cs="Calibri"/>
          <w:bCs/>
          <w:kern w:val="0"/>
          <w:sz w:val="20"/>
          <w:szCs w:val="20"/>
          <w:lang w:val="en-US"/>
          <w14:ligatures w14:val="none"/>
        </w:rPr>
        <w:t>Nat. Rev. Nephrol.</w:t>
      </w:r>
      <w:r w:rsidRPr="00C315D2">
        <w:rPr>
          <w:rFonts w:ascii="Arial" w:eastAsia="Calibri" w:hAnsi="Arial" w:cs="Calibri"/>
          <w:bCs/>
          <w:kern w:val="0"/>
          <w:sz w:val="20"/>
          <w:szCs w:val="20"/>
          <w:lang w:val="en-US"/>
          <w14:ligatures w14:val="none"/>
        </w:rPr>
        <w:t xml:space="preserve"> </w:t>
      </w:r>
      <w:r w:rsidR="002479A9">
        <w:rPr>
          <w:rFonts w:ascii="Arial" w:hAnsi="Arial" w:cs="Calibri" w:hint="eastAsia"/>
          <w:bCs/>
          <w:kern w:val="0"/>
          <w:sz w:val="20"/>
          <w:szCs w:val="20"/>
          <w:lang w:val="en-US" w:eastAsia="ja-JP"/>
          <w14:ligatures w14:val="none"/>
        </w:rPr>
        <w:t>9(11)</w:t>
      </w:r>
      <w:r w:rsidRPr="00C315D2">
        <w:rPr>
          <w:rFonts w:ascii="Arial" w:eastAsia="Calibri" w:hAnsi="Arial" w:cs="Calibri"/>
          <w:bCs/>
          <w:kern w:val="0"/>
          <w:sz w:val="20"/>
          <w:szCs w:val="20"/>
          <w:lang w:val="en-US"/>
          <w14:ligatures w14:val="none"/>
        </w:rPr>
        <w:t>:</w:t>
      </w:r>
      <w:r w:rsidR="002479A9">
        <w:rPr>
          <w:rFonts w:ascii="Arial" w:hAnsi="Arial" w:cs="Calibri" w:hint="eastAsia"/>
          <w:bCs/>
          <w:kern w:val="0"/>
          <w:sz w:val="20"/>
          <w:szCs w:val="20"/>
          <w:lang w:val="en-US" w:eastAsia="ja-JP"/>
          <w14:ligatures w14:val="none"/>
        </w:rPr>
        <w:t>650</w:t>
      </w:r>
      <w:r w:rsidR="002479A9">
        <w:rPr>
          <w:rFonts w:ascii="Arial" w:eastAsia="Calibri" w:hAnsi="Arial" w:cs="Arial"/>
          <w:bCs/>
          <w:kern w:val="0"/>
          <w:sz w:val="20"/>
          <w:szCs w:val="20"/>
          <w:lang w:val="en-US"/>
          <w14:ligatures w14:val="none"/>
        </w:rPr>
        <w:t>–</w:t>
      </w:r>
      <w:r w:rsidR="002479A9">
        <w:rPr>
          <w:rFonts w:ascii="Arial" w:hAnsi="Arial" w:cs="Calibri" w:hint="eastAsia"/>
          <w:bCs/>
          <w:kern w:val="0"/>
          <w:sz w:val="20"/>
          <w:szCs w:val="20"/>
          <w:lang w:val="en-US" w:eastAsia="ja-JP"/>
          <w14:ligatures w14:val="none"/>
        </w:rPr>
        <w:t>660</w:t>
      </w:r>
    </w:p>
    <w:sectPr w:rsidR="00113BB7" w:rsidRPr="002479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79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6751A"/>
    <w:rsid w:val="0008672D"/>
    <w:rsid w:val="00086D5C"/>
    <w:rsid w:val="000A54FF"/>
    <w:rsid w:val="000F1500"/>
    <w:rsid w:val="00107368"/>
    <w:rsid w:val="00113BB7"/>
    <w:rsid w:val="00121F4A"/>
    <w:rsid w:val="001464DE"/>
    <w:rsid w:val="00157EF1"/>
    <w:rsid w:val="00196B4F"/>
    <w:rsid w:val="001F1F81"/>
    <w:rsid w:val="002017E6"/>
    <w:rsid w:val="00230814"/>
    <w:rsid w:val="002479A9"/>
    <w:rsid w:val="0025392B"/>
    <w:rsid w:val="00276A06"/>
    <w:rsid w:val="002800C5"/>
    <w:rsid w:val="00294059"/>
    <w:rsid w:val="002E2C52"/>
    <w:rsid w:val="002F40B8"/>
    <w:rsid w:val="003206E4"/>
    <w:rsid w:val="00332097"/>
    <w:rsid w:val="0036585A"/>
    <w:rsid w:val="003926AE"/>
    <w:rsid w:val="00397B8F"/>
    <w:rsid w:val="003A1780"/>
    <w:rsid w:val="003A6D5C"/>
    <w:rsid w:val="003E35E4"/>
    <w:rsid w:val="004816A6"/>
    <w:rsid w:val="004A51B6"/>
    <w:rsid w:val="004C13A0"/>
    <w:rsid w:val="004C7237"/>
    <w:rsid w:val="004F0FFA"/>
    <w:rsid w:val="004F1833"/>
    <w:rsid w:val="004F4BC6"/>
    <w:rsid w:val="005027B7"/>
    <w:rsid w:val="00505EB2"/>
    <w:rsid w:val="00510CF8"/>
    <w:rsid w:val="00521058"/>
    <w:rsid w:val="0053327C"/>
    <w:rsid w:val="005358F9"/>
    <w:rsid w:val="00551573"/>
    <w:rsid w:val="00556852"/>
    <w:rsid w:val="00575A29"/>
    <w:rsid w:val="005A353A"/>
    <w:rsid w:val="005E3BC0"/>
    <w:rsid w:val="005E5828"/>
    <w:rsid w:val="00601754"/>
    <w:rsid w:val="006068B9"/>
    <w:rsid w:val="0062138B"/>
    <w:rsid w:val="006332AB"/>
    <w:rsid w:val="00646E06"/>
    <w:rsid w:val="00671F73"/>
    <w:rsid w:val="0069419E"/>
    <w:rsid w:val="006A34BE"/>
    <w:rsid w:val="006E1A77"/>
    <w:rsid w:val="006E3516"/>
    <w:rsid w:val="006F3F1C"/>
    <w:rsid w:val="007141F2"/>
    <w:rsid w:val="00731688"/>
    <w:rsid w:val="007561D8"/>
    <w:rsid w:val="00795378"/>
    <w:rsid w:val="00796206"/>
    <w:rsid w:val="007A2D7D"/>
    <w:rsid w:val="007A72EA"/>
    <w:rsid w:val="007C367E"/>
    <w:rsid w:val="008071C5"/>
    <w:rsid w:val="00832772"/>
    <w:rsid w:val="00834FEC"/>
    <w:rsid w:val="00856FC3"/>
    <w:rsid w:val="008C204E"/>
    <w:rsid w:val="008E0DDB"/>
    <w:rsid w:val="00906D34"/>
    <w:rsid w:val="00912D73"/>
    <w:rsid w:val="00933DC9"/>
    <w:rsid w:val="00936D4C"/>
    <w:rsid w:val="009523F9"/>
    <w:rsid w:val="009650DF"/>
    <w:rsid w:val="00971650"/>
    <w:rsid w:val="009A18EF"/>
    <w:rsid w:val="009B1CBB"/>
    <w:rsid w:val="009B2102"/>
    <w:rsid w:val="009B2C37"/>
    <w:rsid w:val="009E5B1A"/>
    <w:rsid w:val="00A0516D"/>
    <w:rsid w:val="00AB3B7F"/>
    <w:rsid w:val="00AC054A"/>
    <w:rsid w:val="00B470D5"/>
    <w:rsid w:val="00B4721D"/>
    <w:rsid w:val="00B717DD"/>
    <w:rsid w:val="00B8473A"/>
    <w:rsid w:val="00B87760"/>
    <w:rsid w:val="00BE27F4"/>
    <w:rsid w:val="00C05D5D"/>
    <w:rsid w:val="00C179AA"/>
    <w:rsid w:val="00C2148A"/>
    <w:rsid w:val="00C21815"/>
    <w:rsid w:val="00C22DBD"/>
    <w:rsid w:val="00C315D2"/>
    <w:rsid w:val="00C33E96"/>
    <w:rsid w:val="00C353D8"/>
    <w:rsid w:val="00C538E2"/>
    <w:rsid w:val="00CC763D"/>
    <w:rsid w:val="00CE03D4"/>
    <w:rsid w:val="00CF5A91"/>
    <w:rsid w:val="00D02BB1"/>
    <w:rsid w:val="00D05112"/>
    <w:rsid w:val="00D254BF"/>
    <w:rsid w:val="00D30BE0"/>
    <w:rsid w:val="00D3119A"/>
    <w:rsid w:val="00D34FAD"/>
    <w:rsid w:val="00D45A74"/>
    <w:rsid w:val="00D56C53"/>
    <w:rsid w:val="00D73386"/>
    <w:rsid w:val="00D7428F"/>
    <w:rsid w:val="00DB39D1"/>
    <w:rsid w:val="00DD0103"/>
    <w:rsid w:val="00DE666B"/>
    <w:rsid w:val="00DF1E82"/>
    <w:rsid w:val="00E0539F"/>
    <w:rsid w:val="00E26F09"/>
    <w:rsid w:val="00E84A89"/>
    <w:rsid w:val="00EC3746"/>
    <w:rsid w:val="00F246E8"/>
    <w:rsid w:val="00F51A29"/>
    <w:rsid w:val="00F539FB"/>
    <w:rsid w:val="00F53CFD"/>
    <w:rsid w:val="00F73C67"/>
    <w:rsid w:val="00F85528"/>
    <w:rsid w:val="00FD6427"/>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C315D2"/>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C315D2"/>
    <w:rPr>
      <w:rFonts w:eastAsiaTheme="majorEastAsia" w:cstheme="majorBidi"/>
      <w:i/>
      <w:iCs/>
      <w:color w:val="0F4761" w:themeColor="accent1" w:themeShade="BF"/>
    </w:rPr>
  </w:style>
  <w:style w:type="character" w:customStyle="1" w:styleId="50">
    <w:name w:val="見出し 5 (文字)"/>
    <w:basedOn w:val="a0"/>
    <w:link w:val="5"/>
    <w:uiPriority w:val="9"/>
    <w:semiHidden/>
    <w:rsid w:val="00C315D2"/>
    <w:rPr>
      <w:rFonts w:eastAsiaTheme="majorEastAsia" w:cstheme="majorBidi"/>
      <w:color w:val="0F4761" w:themeColor="accent1" w:themeShade="BF"/>
    </w:rPr>
  </w:style>
  <w:style w:type="character" w:customStyle="1" w:styleId="60">
    <w:name w:val="見出し 6 (文字)"/>
    <w:basedOn w:val="a0"/>
    <w:link w:val="6"/>
    <w:uiPriority w:val="9"/>
    <w:semiHidden/>
    <w:rsid w:val="00C315D2"/>
    <w:rPr>
      <w:rFonts w:eastAsiaTheme="majorEastAsia" w:cstheme="majorBidi"/>
      <w:i/>
      <w:iCs/>
      <w:color w:val="595959" w:themeColor="text1" w:themeTint="A6"/>
    </w:rPr>
  </w:style>
  <w:style w:type="character" w:customStyle="1" w:styleId="70">
    <w:name w:val="見出し 7 (文字)"/>
    <w:basedOn w:val="a0"/>
    <w:link w:val="7"/>
    <w:uiPriority w:val="9"/>
    <w:semiHidden/>
    <w:rsid w:val="00C315D2"/>
    <w:rPr>
      <w:rFonts w:eastAsiaTheme="majorEastAsia" w:cstheme="majorBidi"/>
      <w:color w:val="595959" w:themeColor="text1" w:themeTint="A6"/>
    </w:rPr>
  </w:style>
  <w:style w:type="character" w:customStyle="1" w:styleId="80">
    <w:name w:val="見出し 8 (文字)"/>
    <w:basedOn w:val="a0"/>
    <w:link w:val="8"/>
    <w:uiPriority w:val="9"/>
    <w:semiHidden/>
    <w:rsid w:val="00C315D2"/>
    <w:rPr>
      <w:rFonts w:eastAsiaTheme="majorEastAsia" w:cstheme="majorBidi"/>
      <w:i/>
      <w:iCs/>
      <w:color w:val="272727" w:themeColor="text1" w:themeTint="D8"/>
    </w:rPr>
  </w:style>
  <w:style w:type="character" w:customStyle="1" w:styleId="90">
    <w:name w:val="見出し 9 (文字)"/>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a4"/>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1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C315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15D2"/>
    <w:pPr>
      <w:spacing w:before="160"/>
      <w:jc w:val="center"/>
    </w:pPr>
    <w:rPr>
      <w:i/>
      <w:iCs/>
      <w:color w:val="404040" w:themeColor="text1" w:themeTint="BF"/>
    </w:rPr>
  </w:style>
  <w:style w:type="character" w:customStyle="1" w:styleId="a8">
    <w:name w:val="引用文 (文字)"/>
    <w:basedOn w:val="a0"/>
    <w:link w:val="a7"/>
    <w:uiPriority w:val="29"/>
    <w:rsid w:val="00C315D2"/>
    <w:rPr>
      <w:i/>
      <w:iCs/>
      <w:color w:val="404040" w:themeColor="text1" w:themeTint="BF"/>
    </w:rPr>
  </w:style>
  <w:style w:type="paragraph" w:styleId="a9">
    <w:name w:val="List Paragraph"/>
    <w:basedOn w:val="a"/>
    <w:uiPriority w:val="34"/>
    <w:qFormat/>
    <w:rsid w:val="00C315D2"/>
    <w:pPr>
      <w:ind w:left="720"/>
      <w:contextualSpacing/>
    </w:pPr>
  </w:style>
  <w:style w:type="character" w:styleId="21">
    <w:name w:val="Intense Emphasis"/>
    <w:basedOn w:val="a0"/>
    <w:uiPriority w:val="21"/>
    <w:qFormat/>
    <w:rsid w:val="00C315D2"/>
    <w:rPr>
      <w:i/>
      <w:iCs/>
      <w:color w:val="0F4761" w:themeColor="accent1" w:themeShade="BF"/>
    </w:rPr>
  </w:style>
  <w:style w:type="paragraph" w:styleId="22">
    <w:name w:val="Intense Quote"/>
    <w:basedOn w:val="a"/>
    <w:next w:val="a"/>
    <w:link w:val="23"/>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15D2"/>
    <w:rPr>
      <w:i/>
      <w:iCs/>
      <w:color w:val="0F4761" w:themeColor="accent1" w:themeShade="BF"/>
    </w:rPr>
  </w:style>
  <w:style w:type="character" w:styleId="24">
    <w:name w:val="Intense Reference"/>
    <w:basedOn w:val="a0"/>
    <w:uiPriority w:val="32"/>
    <w:qFormat/>
    <w:rsid w:val="00C315D2"/>
    <w:rPr>
      <w:b/>
      <w:bCs/>
      <w:smallCaps/>
      <w:color w:val="0F4761" w:themeColor="accent1" w:themeShade="BF"/>
      <w:spacing w:val="5"/>
    </w:rPr>
  </w:style>
  <w:style w:type="paragraph" w:styleId="Web">
    <w:name w:val="Normal (Web)"/>
    <w:basedOn w:val="a"/>
    <w:uiPriority w:val="99"/>
    <w:semiHidden/>
    <w:unhideWhenUsed/>
    <w:rsid w:val="0069419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0593">
      <w:bodyDiv w:val="1"/>
      <w:marLeft w:val="0"/>
      <w:marRight w:val="0"/>
      <w:marTop w:val="0"/>
      <w:marBottom w:val="0"/>
      <w:divBdr>
        <w:top w:val="none" w:sz="0" w:space="0" w:color="auto"/>
        <w:left w:val="none" w:sz="0" w:space="0" w:color="auto"/>
        <w:bottom w:val="none" w:sz="0" w:space="0" w:color="auto"/>
        <w:right w:val="none" w:sz="0" w:space="0" w:color="auto"/>
      </w:divBdr>
    </w:div>
    <w:div w:id="612203127">
      <w:bodyDiv w:val="1"/>
      <w:marLeft w:val="0"/>
      <w:marRight w:val="0"/>
      <w:marTop w:val="0"/>
      <w:marBottom w:val="0"/>
      <w:divBdr>
        <w:top w:val="none" w:sz="0" w:space="0" w:color="auto"/>
        <w:left w:val="none" w:sz="0" w:space="0" w:color="auto"/>
        <w:bottom w:val="none" w:sz="0" w:space="0" w:color="auto"/>
        <w:right w:val="none" w:sz="0" w:space="0" w:color="auto"/>
      </w:divBdr>
    </w:div>
    <w:div w:id="124757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修吾 山下</cp:lastModifiedBy>
  <cp:revision>92</cp:revision>
  <dcterms:created xsi:type="dcterms:W3CDTF">2025-03-11T02:17:00Z</dcterms:created>
  <dcterms:modified xsi:type="dcterms:W3CDTF">2025-05-28T02:26:00Z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