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7B7AD" w14:textId="30B10B3B" w:rsidR="001B61F3" w:rsidRPr="00C315D2" w:rsidRDefault="001B61F3" w:rsidP="001B61F3">
      <w:pPr>
        <w:spacing w:after="0" w:line="240" w:lineRule="auto"/>
        <w:rPr>
          <w:rFonts w:ascii="Arial" w:eastAsia="Calibri" w:hAnsi="Arial" w:cs="Calibri"/>
          <w:b/>
          <w:bCs/>
          <w:kern w:val="0"/>
          <w:lang w:val="en-US"/>
          <w14:ligatures w14:val="none"/>
        </w:rPr>
      </w:pPr>
      <w:r w:rsidRPr="001B61F3">
        <w:rPr>
          <w:rFonts w:ascii="Arial" w:eastAsia="Calibri" w:hAnsi="Arial" w:cs="Calibri" w:hint="eastAsia"/>
          <w:b/>
          <w:bCs/>
          <w:kern w:val="0"/>
          <w:lang w:val="en-US"/>
          <w14:ligatures w14:val="none"/>
        </w:rPr>
        <w:t>Repurposing Cardiac Glycosides to Potentiate CD47 Blockade through Calreticulin-mediated Phagocytic Effect in Lung Cancer</w:t>
      </w:r>
    </w:p>
    <w:p w14:paraId="55CE3A6B" w14:textId="56662FD9" w:rsidR="001B61F3" w:rsidRPr="00C315D2" w:rsidRDefault="001B61F3" w:rsidP="001B61F3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1B61F3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Zi-Han Ye</w:t>
      </w:r>
      <w:r>
        <w:rPr>
          <w:rFonts w:ascii="Arial" w:eastAsiaTheme="minorEastAsia" w:hAnsi="Arial" w:cs="Calibri" w:hint="eastAsia"/>
          <w:b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Wei-Bang Yu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1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Mu-Yang Huang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1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Yan-Yan Chen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1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Le-Le Zhang</w:t>
      </w:r>
      <w:r w:rsidR="00B75005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4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Chung-Hang Leung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1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Xiao-Lei Zhang</w:t>
      </w:r>
      <w:r w:rsidR="00B75005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5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Zheng-Hai Tang</w:t>
      </w:r>
      <w:r w:rsidR="00B75005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6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, Ting Li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1</w:t>
      </w:r>
      <w:r w:rsidR="00F45C02" w:rsidRPr="00F45C02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Theme="minorEastAsia" w:hAnsi="Arial" w:cs="Calibri" w:hint="eastAsia"/>
          <w:b/>
          <w:kern w:val="0"/>
          <w:sz w:val="20"/>
          <w:szCs w:val="20"/>
          <w:u w:val="single"/>
          <w:lang w:eastAsia="zh-CN"/>
          <w14:ligatures w14:val="none"/>
        </w:rPr>
        <w:t>Jin-Jian Lu</w:t>
      </w:r>
      <w:r w:rsidRPr="0066090D">
        <w:rPr>
          <w:rFonts w:ascii="Arial" w:eastAsia="Calibri" w:hAnsi="Arial" w:cs="Calibri"/>
          <w:kern w:val="0"/>
          <w:sz w:val="20"/>
          <w:szCs w:val="20"/>
          <w:u w:val="single"/>
          <w:vertAlign w:val="superscript"/>
          <w14:ligatures w14:val="none"/>
        </w:rPr>
        <w:t>1</w:t>
      </w:r>
      <w:r w:rsidR="00B75005" w:rsidRPr="0066090D">
        <w:rPr>
          <w:rFonts w:ascii="Arial" w:eastAsiaTheme="minorEastAsia" w:hAnsi="Arial" w:cs="Calibri" w:hint="eastAsia"/>
          <w:kern w:val="0"/>
          <w:sz w:val="20"/>
          <w:szCs w:val="20"/>
          <w:u w:val="single"/>
          <w:vertAlign w:val="superscript"/>
          <w:lang w:eastAsia="zh-CN"/>
          <w14:ligatures w14:val="none"/>
        </w:rPr>
        <w:t>,</w:t>
      </w:r>
      <w:r w:rsidR="00B75005" w:rsidRPr="0066090D">
        <w:rPr>
          <w:rFonts w:ascii="Arial" w:eastAsia="Calibri" w:hAnsi="Arial" w:cs="Calibri"/>
          <w:kern w:val="0"/>
          <w:sz w:val="20"/>
          <w:szCs w:val="20"/>
          <w:u w:val="single"/>
          <w:vertAlign w:val="superscript"/>
          <w14:ligatures w14:val="none"/>
        </w:rPr>
        <w:t>2,3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244D30D4" w14:textId="3B1425F8" w:rsidR="00B75005" w:rsidRPr="005668BF" w:rsidRDefault="00F45C02" w:rsidP="00B75005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 w:rsidRPr="00F45C02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1</w:t>
      </w:r>
      <w:r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 xml:space="preserve"> </w:t>
      </w:r>
      <w:r w:rsidR="001B61F3" w:rsidRPr="001B61F3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State Key Laboratory of Quality Research in Chinese Medicine, Institute of Chinese Medical Sciences, University of Macau, Macao, China</w:t>
      </w:r>
      <w:r w:rsidR="005668BF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;</w:t>
      </w:r>
    </w:p>
    <w:p w14:paraId="1C8820EE" w14:textId="429A0CE8" w:rsidR="00B75005" w:rsidRPr="00B75005" w:rsidRDefault="00B75005" w:rsidP="00B75005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eastAsia="zh-CN"/>
          <w14:ligatures w14:val="none"/>
        </w:rPr>
      </w:pPr>
      <w:r w:rsidRPr="00B75005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2</w:t>
      </w:r>
      <w:r w:rsidRPr="00B7500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 Department of Pharmaceutical Sciences, Faculty of Health Sciences, University of Macau, Macao 999078, China</w:t>
      </w:r>
      <w:r w:rsidR="005668BF">
        <w:rPr>
          <w:rFonts w:ascii="SimSun" w:hAnsi="SimSun" w:cs="SimSun" w:hint="eastAsia"/>
          <w:bCs/>
          <w:kern w:val="0"/>
          <w:sz w:val="20"/>
          <w:szCs w:val="20"/>
          <w:lang w:eastAsia="zh-CN"/>
          <w14:ligatures w14:val="none"/>
        </w:rPr>
        <w:t>;</w:t>
      </w:r>
    </w:p>
    <w:p w14:paraId="24E6F0AB" w14:textId="2D641D1C" w:rsidR="001B61F3" w:rsidRDefault="00B75005" w:rsidP="00B75005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B75005">
        <w:rPr>
          <w:rFonts w:ascii="Arial" w:eastAsia="Calibri" w:hAnsi="Arial" w:cs="Calibri" w:hint="eastAsia"/>
          <w:bCs/>
          <w:kern w:val="0"/>
          <w:sz w:val="20"/>
          <w:szCs w:val="20"/>
          <w:vertAlign w:val="superscript"/>
          <w14:ligatures w14:val="none"/>
        </w:rPr>
        <w:t>3</w:t>
      </w:r>
      <w:r w:rsidRPr="00B7500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 MoE Frontiers Science Center for Precision Oncology, University of Macau, Macao 999078, China</w:t>
      </w:r>
      <w:r w:rsidRPr="00B75005">
        <w:rPr>
          <w:rFonts w:ascii="SimSun" w:hAnsi="SimSun" w:cs="SimSun" w:hint="eastAsia"/>
          <w:bCs/>
          <w:kern w:val="0"/>
          <w:sz w:val="20"/>
          <w:szCs w:val="20"/>
          <w14:ligatures w14:val="none"/>
        </w:rPr>
        <w:t>；</w:t>
      </w:r>
    </w:p>
    <w:p w14:paraId="43820D2C" w14:textId="2AEDF600" w:rsidR="0058348D" w:rsidRDefault="00B75005" w:rsidP="00F45C02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4</w:t>
      </w:r>
      <w:r w:rsidR="00F45C02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 xml:space="preserve"> </w:t>
      </w:r>
      <w:r w:rsidR="00F45C02" w:rsidRPr="00F45C02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School of Basic Medical Sciences, Chengdu University, Chengdu 610106, China</w:t>
      </w:r>
      <w:r w:rsidR="005668BF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;</w:t>
      </w:r>
    </w:p>
    <w:p w14:paraId="44037D6A" w14:textId="4357123A" w:rsidR="00F45C02" w:rsidRDefault="00B75005" w:rsidP="00F45C02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5</w:t>
      </w:r>
      <w:r w:rsidR="00F45C02"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 xml:space="preserve"> </w:t>
      </w:r>
      <w:r w:rsidR="00F45C02" w:rsidRPr="00F45C02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National-Local Joint Engineering Laboratory of Druggability and New Drug Evaluation, Guangdong Key Laboratory of Chiral Molecule and Drug Discovery, School of Pharmaceutical Sciences, Sun Yat-sen University, Guangzhou 510006, China</w:t>
      </w:r>
      <w:r w:rsidR="005668BF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;</w:t>
      </w:r>
    </w:p>
    <w:p w14:paraId="55853E6A" w14:textId="7E631B0D" w:rsidR="00F45C02" w:rsidRPr="00F45C02" w:rsidRDefault="00B75005" w:rsidP="00F45C02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Theme="minorEastAsia" w:hAnsi="Arial" w:cs="Calibri" w:hint="eastAsia"/>
          <w:bCs/>
          <w:kern w:val="0"/>
          <w:sz w:val="20"/>
          <w:szCs w:val="20"/>
          <w:vertAlign w:val="superscript"/>
          <w:lang w:eastAsia="zh-CN"/>
          <w14:ligatures w14:val="none"/>
        </w:rPr>
        <w:t>6</w:t>
      </w:r>
      <w:r w:rsidR="00F45C02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F45C02" w:rsidRPr="00F45C02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Department of Biomedical Sciences, Faculty of Health Sciences, University of Macau, Macao 999078, China</w:t>
      </w:r>
      <w:r w:rsidR="005668BF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.</w:t>
      </w:r>
    </w:p>
    <w:p w14:paraId="4AABA05E" w14:textId="655D74DB" w:rsidR="001B61F3" w:rsidRPr="00B75005" w:rsidRDefault="001B61F3" w:rsidP="001B61F3">
      <w:pPr>
        <w:spacing w:after="0" w:line="240" w:lineRule="auto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</w:p>
    <w:p w14:paraId="35342498" w14:textId="3B11B5B6" w:rsidR="001B61F3" w:rsidRPr="00F27045" w:rsidRDefault="001B61F3" w:rsidP="001B61F3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CD47 serve</w:t>
      </w:r>
      <w:r w:rsidR="0024453C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s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as </w:t>
      </w:r>
      <w:r w:rsidR="00F27045"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  <w:t>“don’t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eat me</w:t>
      </w:r>
      <w:r w:rsidR="00F27045"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  <w:t>”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signal in cancer, n</w:t>
      </w:r>
      <w:r w:rsidR="00F27045" w:rsidRPr="00F27045"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  <w:t>ovel CD47-targeted combination strategies warrant further investigation.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F27045" w:rsidRPr="00F2704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This study 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aims to </w:t>
      </w:r>
      <w:r w:rsidR="00F27045" w:rsidRPr="00F2704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explore 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the anti-cancer effect and mechanisms of new</w:t>
      </w:r>
      <w:r w:rsidR="00F27045" w:rsidRPr="00F2704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 combination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strategy between </w:t>
      </w:r>
      <w:r w:rsidR="00F27045" w:rsidRPr="00F2704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 xml:space="preserve">CD47 antibody 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and </w:t>
      </w:r>
      <w:r w:rsidR="00F27045" w:rsidRPr="00F27045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cardiac glycosides</w:t>
      </w:r>
      <w:r w:rsidR="00BF155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(CGs)</w:t>
      </w:r>
      <w:r w:rsidR="00F27045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.</w:t>
      </w:r>
    </w:p>
    <w:p w14:paraId="7CA652B5" w14:textId="77777777" w:rsidR="00030F16" w:rsidRDefault="00030F16" w:rsidP="001B61F3">
      <w:pPr>
        <w:spacing w:after="0" w:line="240" w:lineRule="auto"/>
        <w:jc w:val="both"/>
        <w:rPr>
          <w:rFonts w:ascii="Arial" w:eastAsiaTheme="minorEastAsia" w:hAnsi="Arial" w:cs="Calibri"/>
          <w:b/>
          <w:kern w:val="0"/>
          <w:sz w:val="20"/>
          <w:szCs w:val="20"/>
          <w:lang w:eastAsia="zh-CN"/>
          <w14:ligatures w14:val="none"/>
        </w:rPr>
      </w:pPr>
    </w:p>
    <w:p w14:paraId="5FE9A373" w14:textId="34C3ABDC" w:rsidR="001B61F3" w:rsidRPr="00C315D2" w:rsidRDefault="001B61F3" w:rsidP="001B61F3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="00F27045" w:rsidRPr="00B111EC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2C50D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High-content screening assay; </w:t>
      </w:r>
      <w:r w:rsidR="002C50DE" w:rsidRPr="002C50DE">
        <w:rPr>
          <w:rFonts w:ascii="Arial" w:eastAsiaTheme="minorEastAsia" w:hAnsi="Arial" w:cs="Calibri" w:hint="eastAsia"/>
          <w:bCs/>
          <w:i/>
          <w:iCs/>
          <w:kern w:val="0"/>
          <w:sz w:val="20"/>
          <w:szCs w:val="20"/>
          <w:lang w:eastAsia="zh-CN"/>
          <w14:ligatures w14:val="none"/>
        </w:rPr>
        <w:t>In-vitro</w:t>
      </w:r>
      <w:r w:rsidR="00F14E3C"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  <w:t xml:space="preserve"> and </w:t>
      </w:r>
      <w:bookmarkStart w:id="0" w:name="_GoBack"/>
      <w:bookmarkEnd w:id="0"/>
      <w:r w:rsidR="002C50DE" w:rsidRPr="002C50DE">
        <w:rPr>
          <w:rFonts w:ascii="Arial" w:eastAsiaTheme="minorEastAsia" w:hAnsi="Arial" w:cs="Calibri" w:hint="eastAsia"/>
          <w:bCs/>
          <w:i/>
          <w:iCs/>
          <w:kern w:val="0"/>
          <w:sz w:val="20"/>
          <w:szCs w:val="20"/>
          <w:lang w:eastAsia="zh-CN"/>
          <w14:ligatures w14:val="none"/>
        </w:rPr>
        <w:t>in-vivo</w:t>
      </w:r>
      <w:r w:rsidR="002C50D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phagocytosis assay; </w:t>
      </w:r>
      <w:r w:rsidR="00A60312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anti-cancer evaluation in xenograft model; FACS assay</w:t>
      </w:r>
      <w:r w:rsidR="00044958"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  <w:t xml:space="preserve">, </w:t>
      </w:r>
      <w:r w:rsidR="00044958" w:rsidRPr="00044958">
        <w:rPr>
          <w:rFonts w:ascii="Arial" w:eastAsiaTheme="minorEastAsia" w:hAnsi="Arial" w:cs="Calibri"/>
          <w:bCs/>
          <w:i/>
          <w:kern w:val="0"/>
          <w:sz w:val="20"/>
          <w:szCs w:val="20"/>
          <w:lang w:eastAsia="zh-CN"/>
          <w14:ligatures w14:val="none"/>
        </w:rPr>
        <w:t>etc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. </w:t>
      </w:r>
    </w:p>
    <w:p w14:paraId="413D9341" w14:textId="77777777" w:rsidR="00030F16" w:rsidRDefault="00030F16" w:rsidP="001B61F3">
      <w:pPr>
        <w:spacing w:after="0" w:line="240" w:lineRule="auto"/>
        <w:jc w:val="both"/>
        <w:rPr>
          <w:rFonts w:ascii="Arial" w:eastAsiaTheme="minorEastAsia" w:hAnsi="Arial" w:cs="Calibri"/>
          <w:b/>
          <w:bCs/>
          <w:kern w:val="0"/>
          <w:sz w:val="20"/>
          <w:szCs w:val="20"/>
          <w:lang w:eastAsia="zh-CN"/>
          <w14:ligatures w14:val="none"/>
        </w:rPr>
      </w:pPr>
    </w:p>
    <w:p w14:paraId="572B81B9" w14:textId="13BFD43B" w:rsidR="001B61F3" w:rsidRDefault="001B61F3" w:rsidP="001B61F3">
      <w:pPr>
        <w:spacing w:after="0" w:line="240" w:lineRule="auto"/>
        <w:jc w:val="both"/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BF1555">
        <w:rPr>
          <w:rFonts w:ascii="Arial" w:eastAsiaTheme="minorEastAsia" w:hAnsi="Arial" w:cs="Calibri" w:hint="eastAsia"/>
          <w:b/>
          <w:bCs/>
          <w:kern w:val="0"/>
          <w:sz w:val="20"/>
          <w:szCs w:val="20"/>
          <w:lang w:eastAsia="zh-CN"/>
          <w14:ligatures w14:val="none"/>
        </w:rPr>
        <w:t xml:space="preserve"> 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Two CGs, ouabain and digoxin, were identified to enhance the phagocytic activity of CD47 antibody in compound screening </w:t>
      </w:r>
      <w:r w:rsid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system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 (Figure 1a). In xenograft models, ouabain significantly inhibited tumor growth (Figure 1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b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, 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c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) and increased the phagocytosis of tumor-associated macrophages (Figure 1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d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). Mechanistically, CGs augmented the cell surface expression of calreticulin (CRT) (Figure 1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e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, 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f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). The enhanced phagocytosis induced by the combination treatment was reversed by an anti-CRT bloc</w:t>
      </w:r>
      <w:r w:rsidR="0089735D" w:rsidRPr="0089735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>king antibody (Figure 1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g</w:t>
      </w:r>
      <w:r w:rsidR="0089735D" w:rsidRPr="0089735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>). Further investigation revealed that CGs disrupted endoplasmic reticulum (ER)-Ca²</w:t>
      </w:r>
      <w:r w:rsidR="0089735D" w:rsidRPr="0089735D">
        <w:rPr>
          <w:rFonts w:ascii="Cambria Math" w:eastAsiaTheme="minorEastAsia" w:hAnsi="Cambria Math" w:cs="Cambria Math"/>
          <w:kern w:val="0"/>
          <w:sz w:val="20"/>
          <w:szCs w:val="20"/>
          <w:lang w:eastAsia="zh-CN"/>
          <w14:ligatures w14:val="none"/>
        </w:rPr>
        <w:t>⁺</w:t>
      </w:r>
      <w:r w:rsidR="0089735D" w:rsidRPr="0089735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 xml:space="preserve"> homeostasis, leading to PERK activation. The PERK inhibitor GSK157, ER-Golgi protein trafficking inhibitor BFA, and siRNA targeting Exo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70 effectively reversed CGs-induced CRT upregulation and phagocytosis enhancement (Figure 1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h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-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j</w:t>
      </w:r>
      <w:r w:rsidR="0089735D" w:rsidRPr="0089735D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>).</w:t>
      </w:r>
      <w:r w:rsidR="008B594A" w:rsidRPr="0089735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 xml:space="preserve"> </w:t>
      </w:r>
    </w:p>
    <w:p w14:paraId="2A76C47A" w14:textId="77777777" w:rsidR="00030F16" w:rsidRDefault="00030F16" w:rsidP="005B7BBD">
      <w:pPr>
        <w:spacing w:after="0" w:line="240" w:lineRule="auto"/>
        <w:jc w:val="both"/>
        <w:rPr>
          <w:rFonts w:ascii="Arial" w:eastAsiaTheme="minorEastAsia" w:hAnsi="Arial" w:cs="Calibri"/>
          <w:b/>
          <w:kern w:val="0"/>
          <w:sz w:val="20"/>
          <w:szCs w:val="20"/>
          <w:lang w:eastAsia="zh-CN"/>
          <w14:ligatures w14:val="none"/>
        </w:rPr>
      </w:pPr>
    </w:p>
    <w:p w14:paraId="5D82BFE3" w14:textId="00381FB0" w:rsidR="005B7BBD" w:rsidRDefault="005B7BBD" w:rsidP="005B7BBD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Conclusion/</w:t>
      </w: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Discussion.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Pr="00CA3CC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CGs enhanced anti-cancer effect of CD47 antibody by inducing CRT translocation via ER-Golgi-exocytosis pathway</w:t>
      </w:r>
      <w:r w:rsidRPr="0017240C">
        <w:rPr>
          <w:rFonts w:ascii="Arial" w:eastAsia="Calibri" w:hAnsi="Arial" w:cs="Calibri" w:hint="eastAsia"/>
          <w:bCs/>
          <w:kern w:val="0"/>
          <w:sz w:val="20"/>
          <w:szCs w:val="20"/>
          <w14:ligatures w14:val="none"/>
        </w:rPr>
        <w:t>.</w:t>
      </w:r>
      <w:r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This </w:t>
      </w:r>
      <w:r w:rsidRPr="00CA3CC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finding provide</w:t>
      </w:r>
      <w:r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s</w:t>
      </w:r>
      <w:r w:rsidRPr="00CA3CC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 new insights for </w:t>
      </w:r>
      <w:r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 xml:space="preserve">both drug repurposing of CGs and </w:t>
      </w:r>
      <w:r w:rsidRPr="00CA3CCE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combination strategies involving CD47 in cancer</w:t>
      </w:r>
      <w:r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.</w:t>
      </w:r>
    </w:p>
    <w:p w14:paraId="75A9D28A" w14:textId="77777777" w:rsidR="00B75005" w:rsidRPr="00CA3CCE" w:rsidRDefault="00B75005" w:rsidP="005B7BBD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val="en-US" w:eastAsia="zh-CN"/>
          <w14:ligatures w14:val="none"/>
        </w:rPr>
      </w:pPr>
    </w:p>
    <w:p w14:paraId="381144CF" w14:textId="14638D73" w:rsidR="005B7BBD" w:rsidRPr="00B75005" w:rsidRDefault="005668BF" w:rsidP="00CA3CCE">
      <w:pPr>
        <w:spacing w:after="0" w:line="240" w:lineRule="auto"/>
        <w:jc w:val="both"/>
        <w:rPr>
          <w:rFonts w:ascii="Arial" w:eastAsiaTheme="minorEastAsia" w:hAnsi="Arial" w:cs="Calibri"/>
          <w:kern w:val="0"/>
          <w:sz w:val="20"/>
          <w:szCs w:val="20"/>
          <w:lang w:val="en-US" w:eastAsia="zh-CN"/>
          <w14:ligatures w14:val="none"/>
        </w:rPr>
      </w:pPr>
      <w:r>
        <w:rPr>
          <w:noProof/>
          <w:lang w:val="en-US" w:eastAsia="zh-CN"/>
        </w:rPr>
        <w:drawing>
          <wp:inline distT="0" distB="0" distL="0" distR="0" wp14:anchorId="69905AD4" wp14:editId="0A532052">
            <wp:extent cx="5731510" cy="2432685"/>
            <wp:effectExtent l="0" t="0" r="2540" b="5715"/>
            <wp:docPr id="4314801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8255" w14:textId="0E5536F8" w:rsidR="005B7BBD" w:rsidRPr="005B7BBD" w:rsidRDefault="005B7BBD" w:rsidP="00CA3CCE">
      <w:pPr>
        <w:spacing w:after="0" w:line="240" w:lineRule="auto"/>
        <w:jc w:val="both"/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</w:pPr>
      <w:r w:rsidRPr="005B7BB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 xml:space="preserve">Figure 1. CGs </w:t>
      </w:r>
      <w:r w:rsidR="002C50DE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enhanced the anti-cancer effect of </w:t>
      </w:r>
      <w:r w:rsidRPr="005B7BBD">
        <w:rPr>
          <w:rFonts w:ascii="Arial" w:eastAsiaTheme="minorEastAsia" w:hAnsi="Arial" w:cs="Calibri"/>
          <w:kern w:val="0"/>
          <w:sz w:val="20"/>
          <w:szCs w:val="20"/>
          <w:lang w:eastAsia="zh-CN"/>
          <w14:ligatures w14:val="none"/>
        </w:rPr>
        <w:t>CD47 blockade through CRT-mediated phagocytosis in lung cancer.</w:t>
      </w:r>
      <w:r w:rsidR="00B75005">
        <w:rPr>
          <w:rFonts w:ascii="Arial" w:eastAsiaTheme="minorEastAsia" w:hAnsi="Arial" w:cs="Calibri" w:hint="eastAsia"/>
          <w:kern w:val="0"/>
          <w:sz w:val="20"/>
          <w:szCs w:val="20"/>
          <w:lang w:eastAsia="zh-CN"/>
          <w14:ligatures w14:val="none"/>
        </w:rPr>
        <w:t xml:space="preserve"> </w:t>
      </w:r>
    </w:p>
    <w:p w14:paraId="4AAD7CD2" w14:textId="77777777" w:rsidR="005B7BBD" w:rsidRDefault="005B7BBD" w:rsidP="00CA3CCE">
      <w:pPr>
        <w:spacing w:after="0" w:line="240" w:lineRule="auto"/>
        <w:jc w:val="both"/>
        <w:rPr>
          <w:rFonts w:ascii="Arial" w:eastAsiaTheme="minorEastAsia" w:hAnsi="Arial" w:cs="Calibri"/>
          <w:b/>
          <w:kern w:val="0"/>
          <w:sz w:val="20"/>
          <w:szCs w:val="20"/>
          <w:lang w:eastAsia="zh-CN"/>
          <w14:ligatures w14:val="none"/>
        </w:rPr>
      </w:pPr>
    </w:p>
    <w:p w14:paraId="0FE867BD" w14:textId="3F3F36FE" w:rsidR="0089735D" w:rsidRPr="0089735D" w:rsidRDefault="0089735D" w:rsidP="00CA3CCE">
      <w:pPr>
        <w:spacing w:after="0" w:line="240" w:lineRule="auto"/>
        <w:jc w:val="both"/>
        <w:rPr>
          <w:rFonts w:ascii="Arial" w:eastAsiaTheme="minorEastAsia" w:hAnsi="Arial" w:cs="Calibri"/>
          <w:bCs/>
          <w:kern w:val="0"/>
          <w:sz w:val="20"/>
          <w:szCs w:val="20"/>
          <w:lang w:val="en-US" w:eastAsia="zh-CN"/>
          <w14:ligatures w14:val="none"/>
        </w:rPr>
      </w:pPr>
      <w:r w:rsidRPr="0089735D">
        <w:rPr>
          <w:rFonts w:ascii="Arial" w:eastAsiaTheme="minorEastAsia" w:hAnsi="Arial" w:cs="Calibri" w:hint="eastAsia"/>
          <w:b/>
          <w:kern w:val="0"/>
          <w:sz w:val="20"/>
          <w:szCs w:val="20"/>
          <w:lang w:eastAsia="zh-CN"/>
          <w14:ligatures w14:val="none"/>
        </w:rPr>
        <w:t xml:space="preserve">Acknowledgement: </w:t>
      </w:r>
      <w:r w:rsidRPr="0089735D">
        <w:rPr>
          <w:rFonts w:ascii="Arial" w:eastAsiaTheme="minorEastAsia" w:hAnsi="Arial" w:cs="Calibri" w:hint="eastAsia"/>
          <w:bCs/>
          <w:kern w:val="0"/>
          <w:sz w:val="20"/>
          <w:szCs w:val="20"/>
          <w:lang w:eastAsia="zh-CN"/>
          <w14:ligatures w14:val="none"/>
        </w:rPr>
        <w:t>This study was supported by University of Macau (File No. MYRG-GRG2024-00113-ICMS-UMDF) and the Science and Technology Development Fund, Macau SAR (File No. 0015-2022-A1 and 005/2023/SKL).</w:t>
      </w:r>
    </w:p>
    <w:sectPr w:rsidR="0089735D" w:rsidRPr="0089735D" w:rsidSect="001B61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7174B" w14:textId="77777777" w:rsidR="00F47E25" w:rsidRDefault="00F47E25" w:rsidP="00F45C02">
      <w:pPr>
        <w:spacing w:after="0" w:line="240" w:lineRule="auto"/>
      </w:pPr>
      <w:r>
        <w:separator/>
      </w:r>
    </w:p>
  </w:endnote>
  <w:endnote w:type="continuationSeparator" w:id="0">
    <w:p w14:paraId="569952BA" w14:textId="77777777" w:rsidR="00F47E25" w:rsidRDefault="00F47E25" w:rsidP="00F4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84BD2" w14:textId="77777777" w:rsidR="00F47E25" w:rsidRDefault="00F47E25" w:rsidP="00F45C02">
      <w:pPr>
        <w:spacing w:after="0" w:line="240" w:lineRule="auto"/>
      </w:pPr>
      <w:r>
        <w:separator/>
      </w:r>
    </w:p>
  </w:footnote>
  <w:footnote w:type="continuationSeparator" w:id="0">
    <w:p w14:paraId="7189C36D" w14:textId="77777777" w:rsidR="00F47E25" w:rsidRDefault="00F47E25" w:rsidP="00F45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F3"/>
    <w:rsid w:val="00030F16"/>
    <w:rsid w:val="00044958"/>
    <w:rsid w:val="00081DA6"/>
    <w:rsid w:val="00125CC9"/>
    <w:rsid w:val="0017240C"/>
    <w:rsid w:val="001B61F3"/>
    <w:rsid w:val="0024453C"/>
    <w:rsid w:val="002C50DE"/>
    <w:rsid w:val="0034675F"/>
    <w:rsid w:val="005668BF"/>
    <w:rsid w:val="0057217E"/>
    <w:rsid w:val="0058348D"/>
    <w:rsid w:val="005B7BBD"/>
    <w:rsid w:val="0066090D"/>
    <w:rsid w:val="007E3DBB"/>
    <w:rsid w:val="0089735D"/>
    <w:rsid w:val="008B594A"/>
    <w:rsid w:val="00A60312"/>
    <w:rsid w:val="00B111EC"/>
    <w:rsid w:val="00B130AC"/>
    <w:rsid w:val="00B75005"/>
    <w:rsid w:val="00BF1555"/>
    <w:rsid w:val="00C25FC0"/>
    <w:rsid w:val="00C419C9"/>
    <w:rsid w:val="00CA3CCE"/>
    <w:rsid w:val="00CE302B"/>
    <w:rsid w:val="00D45C0B"/>
    <w:rsid w:val="00D64CE8"/>
    <w:rsid w:val="00E04307"/>
    <w:rsid w:val="00F14E3C"/>
    <w:rsid w:val="00F27045"/>
    <w:rsid w:val="00F45C02"/>
    <w:rsid w:val="00F47E25"/>
    <w:rsid w:val="00F8312C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30FB6E"/>
  <w14:defaultImageDpi w14:val="330"/>
  <w15:chartTrackingRefBased/>
  <w15:docId w15:val="{20D6BAEA-D338-420F-BB4F-13756D7D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1F3"/>
    <w:rPr>
      <w:rFonts w:eastAsia="SimSun"/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61F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6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1F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1F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1F3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1F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1F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1F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1F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1F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1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1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1F3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1F3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1F3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1F3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1F3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1F3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B61F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6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1F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61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6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61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61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61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1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61F3"/>
    <w:rPr>
      <w:b/>
      <w:bCs/>
      <w:smallCaps/>
      <w:color w:val="2F5496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2704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27045"/>
    <w:rPr>
      <w:rFonts w:ascii="Courier New" w:eastAsia="SimSun" w:hAnsi="Courier New" w:cs="Courier New"/>
      <w:sz w:val="20"/>
      <w:szCs w:val="20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F45C0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5C02"/>
    <w:rPr>
      <w:rFonts w:eastAsia="SimSun"/>
      <w:sz w:val="18"/>
      <w:szCs w:val="18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F45C0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5C02"/>
    <w:rPr>
      <w:rFonts w:eastAsia="SimSu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0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Ye</dc:creator>
  <cp:keywords/>
  <dc:description/>
  <cp:lastModifiedBy>jinjianlu</cp:lastModifiedBy>
  <cp:revision>10</cp:revision>
  <cp:lastPrinted>2025-04-24T09:29:00Z</cp:lastPrinted>
  <dcterms:created xsi:type="dcterms:W3CDTF">2025-04-24T02:18:00Z</dcterms:created>
  <dcterms:modified xsi:type="dcterms:W3CDTF">2025-04-27T07:53:00Z</dcterms:modified>
</cp:coreProperties>
</file>