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4AD00207" w:rsidR="00C315D2" w:rsidRPr="00C315D2" w:rsidRDefault="002F73AB" w:rsidP="002F73AB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2F73AB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 xml:space="preserve">Development of a Machine Learning-Based Predictive Model for Excipient Selection in Lipid-Based </w:t>
      </w:r>
      <w:r>
        <w:rPr>
          <w:rFonts w:ascii="Arial" w:eastAsia="맑은 고딕" w:hAnsi="Arial" w:cs="Calibri" w:hint="eastAsia"/>
          <w:b/>
          <w:bCs/>
          <w:kern w:val="0"/>
          <w:lang w:val="en-US" w:eastAsia="ko-KR"/>
          <w14:ligatures w14:val="none"/>
        </w:rPr>
        <w:t>Formulations</w:t>
      </w:r>
    </w:p>
    <w:p w14:paraId="72E688D1" w14:textId="148FE304" w:rsidR="00484DB0" w:rsidRPr="002A3C4D" w:rsidRDefault="00484DB0" w:rsidP="00484DB0">
      <w:pPr>
        <w:spacing w:after="0" w:line="240" w:lineRule="auto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맑은 고딕" w:hAnsi="Arial" w:cs="Calibri" w:hint="eastAsia"/>
          <w:b/>
          <w:kern w:val="0"/>
          <w:sz w:val="20"/>
          <w:szCs w:val="20"/>
          <w:u w:val="single"/>
          <w:lang w:eastAsia="ko-KR"/>
          <w14:ligatures w14:val="none"/>
        </w:rPr>
        <w:t>Sung Mo Park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Kwan Hyung Cho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47D76891" w14:textId="07812D40" w:rsidR="00C315D2" w:rsidRPr="00C315D2" w:rsidRDefault="00484DB0" w:rsidP="00484DB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Inje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Gimhae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Gyeongsangnam</w:t>
      </w:r>
      <w:proofErr w:type="spellEnd"/>
      <w:r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-do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Republic of Korea.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D93483" w14:textId="06E597DA" w:rsidR="00C315D2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142FD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Lipid-based formulations (LBFs) have been used to improve the solubility of poorly water-soluble drugs. However, selecting appropriate oils, surfactants, and co-surfactants remains challenging due to unpredictable drug solubility in various excipients. This study aimed to develop a </w:t>
      </w:r>
      <w:r w:rsidR="00EF4F05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predictive </w:t>
      </w:r>
      <w:r w:rsidR="001142FD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machine learning (ML) model </w:t>
      </w:r>
      <w:r w:rsidR="00C104D9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based on</w:t>
      </w:r>
      <w:r w:rsidR="00EF4F05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drug-excipient solubility data in LBFs.</w:t>
      </w:r>
    </w:p>
    <w:p w14:paraId="4AFB05A8" w14:textId="77777777" w:rsidR="00385024" w:rsidRPr="00C315D2" w:rsidRDefault="00385024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479C5D70" w:rsidR="00C315D2" w:rsidRDefault="00C315D2" w:rsidP="00D04AC3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7795C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A dataset of 1,127 drug-excipient pairs was </w:t>
      </w:r>
      <w:r w:rsidR="00FF03CD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constructed</w:t>
      </w:r>
      <w:r w:rsidR="0017795C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from 369 sources, including articles and </w:t>
      </w:r>
      <w:r w:rsidR="00C364C0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commercial</w:t>
      </w:r>
      <w:r w:rsidR="0017795C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LBF products. </w:t>
      </w:r>
      <w:r w:rsidR="00CC730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Excipient types were </w:t>
      </w:r>
      <w:r w:rsidR="00CC7301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labelled</w:t>
      </w:r>
      <w:r w:rsidR="00CC730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as carrier or anti-carrier, with anti-carriers defined as excipients exhibiting drug solubility </w:t>
      </w:r>
      <w:r w:rsidR="00CC7301" w:rsidRPr="00F35A17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≤</w:t>
      </w:r>
      <w:r w:rsidR="00CC730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25% compared to carriers. Each substance was presented as a SMILES string. Data were converted into fingerprints and divided into training and validation sets with an 80:20 ratio</w:t>
      </w:r>
      <w:r w:rsidR="00C364C0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.</w:t>
      </w:r>
      <w:r w:rsidR="00CC730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ML models</w:t>
      </w:r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such as logit, KNN, </w:t>
      </w:r>
      <w:proofErr w:type="spellStart"/>
      <w:r w:rsidR="00161CC7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n</w:t>
      </w:r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aive_bayes</w:t>
      </w:r>
      <w:proofErr w:type="spellEnd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, SVM, </w:t>
      </w:r>
      <w:proofErr w:type="spellStart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decision_tree</w:t>
      </w:r>
      <w:proofErr w:type="spellEnd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, </w:t>
      </w:r>
      <w:proofErr w:type="spellStart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random_forest</w:t>
      </w:r>
      <w:proofErr w:type="spellEnd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, MLP, and </w:t>
      </w:r>
      <w:proofErr w:type="spellStart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XGBoost</w:t>
      </w:r>
      <w:proofErr w:type="spellEnd"/>
      <w:r w:rsidR="00161CC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were trained using 80% of the dataset and validated on the remaining 20%.</w:t>
      </w:r>
      <w:r w:rsidR="00D04AC3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The models were subsequently tested on an independent set excluded from training, to predict solubility classification (soluble: &gt;0.5; insoluble </w:t>
      </w:r>
      <w:r w:rsidR="00D04AC3" w:rsidRPr="00F35A17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≤</w:t>
      </w:r>
      <w:r w:rsidR="00D04AC3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0.5). Model performance was evaluated using accuracy, AUC, and MCC metrics.</w:t>
      </w:r>
    </w:p>
    <w:p w14:paraId="5DE3D149" w14:textId="77777777" w:rsidR="00613B51" w:rsidRPr="00613B51" w:rsidRDefault="00613B51" w:rsidP="00D04AC3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</w:p>
    <w:p w14:paraId="05F82061" w14:textId="4B84DCCE" w:rsidR="003849B1" w:rsidRPr="00385024" w:rsidRDefault="00795378" w:rsidP="2021B9E9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Pr="00915B0B"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  <w:t>.</w:t>
      </w:r>
      <w:r w:rsidR="00C315D2" w:rsidRPr="00915B0B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130365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Performance on the validation set showed that the logit model demonstrated the highest per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formance with accuracy, AUC, and MCC values of </w:t>
      </w:r>
      <w:r w:rsidR="001840AA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0.784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1840AA" w:rsidRPr="00ED4035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±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0.037</w:t>
      </w:r>
      <w:r w:rsidR="001840AA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, 0.756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1840AA" w:rsidRPr="00ED4035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±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0.027</w:t>
      </w:r>
      <w:r w:rsidR="001840AA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, 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and </w:t>
      </w:r>
      <w:r w:rsidR="001840AA" w:rsidRPr="001142FD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0.310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1840AA" w:rsidRPr="00ED4035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±</w:t>
      </w:r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0.114, respectively. On the independent test set, logit and </w:t>
      </w:r>
      <w:proofErr w:type="spellStart"/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XGBoost</w:t>
      </w:r>
      <w:proofErr w:type="spellEnd"/>
      <w:r w:rsidR="001840A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9C5202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achieved 60% and 70% accuracy, although prediction performance for </w:t>
      </w:r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samples classified as insoluble remained limited. After retraining with the independent test set, accuracy improved to 85% and 90% for the logit and </w:t>
      </w:r>
      <w:proofErr w:type="spellStart"/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XGBoost</w:t>
      </w:r>
      <w:proofErr w:type="spellEnd"/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models, respectively.</w:t>
      </w: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45DBBF94" w14:textId="0C622D03" w:rsidR="00540932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47D04" w:rsidRPr="00347D04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The ML models predict </w:t>
      </w:r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drug solubility classification in LBFs, providing insight for excipient selection while reducing </w:t>
      </w:r>
      <w:r w:rsidR="003849B1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empirical</w:t>
      </w:r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screening. However, their limited prediction accuracy for insoluble cases indicates the need for reinforced </w:t>
      </w:r>
      <w:r w:rsidR="003849B1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training</w:t>
      </w:r>
      <w:r w:rsidR="003849B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data.</w:t>
      </w:r>
      <w:r w:rsidR="00540932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Continued learning with more data will enhance performance and expand model applicability.</w:t>
      </w:r>
    </w:p>
    <w:p w14:paraId="3F26141E" w14:textId="77777777" w:rsidR="005A3D2E" w:rsidRDefault="005A3D2E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</w:p>
    <w:p w14:paraId="2CDF9A94" w14:textId="77777777" w:rsidR="005A3D2E" w:rsidRPr="00A26A6B" w:rsidRDefault="005A3D2E" w:rsidP="005A3D2E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>
        <w:rPr>
          <w:rFonts w:ascii="Arial" w:eastAsia="맑은 고딕" w:hAnsi="Arial" w:cs="Calibri"/>
          <w:b/>
          <w:kern w:val="0"/>
          <w:sz w:val="20"/>
          <w:szCs w:val="20"/>
          <w:lang w:val="en-US" w:eastAsia="ko-KR"/>
          <w14:ligatures w14:val="none"/>
        </w:rPr>
        <w:t>.</w:t>
      </w:r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3F0B90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This research was supported by the Basic Science Research Program through the National Research Foundation of Korea (NRF) funded by the Ministry of Science, ICT &amp; Future Planning (Grant number: NRF-2022R1A2C1003070).</w:t>
      </w:r>
    </w:p>
    <w:p w14:paraId="57FFE43F" w14:textId="77777777" w:rsidR="00540932" w:rsidRPr="00D508B1" w:rsidRDefault="00540932" w:rsidP="00C315D2">
      <w:pPr>
        <w:spacing w:after="0" w:line="240" w:lineRule="auto"/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</w:pPr>
    </w:p>
    <w:p w14:paraId="495B1BA5" w14:textId="74309EAE" w:rsidR="00C315D2" w:rsidRPr="00D508B1" w:rsidRDefault="00C315D2" w:rsidP="00F53D14">
      <w:pPr>
        <w:spacing w:after="0" w:line="240" w:lineRule="auto"/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D508B1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>References:</w:t>
      </w:r>
      <w:r w:rsidRPr="00D508B1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43007AA2" w14:textId="2B34E941" w:rsidR="00BF3FCB" w:rsidRPr="00D508B1" w:rsidRDefault="00BF3FCB" w:rsidP="00C315D2">
      <w:pPr>
        <w:spacing w:after="0" w:line="240" w:lineRule="auto"/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</w:t>
      </w:r>
      <w:r w:rsidR="00D07BE4"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1</w:t>
      </w: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) Bannigan, P. et al (2021) </w:t>
      </w:r>
      <w:r w:rsidRPr="00D508B1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Advanced Drug Delivery Reviews</w:t>
      </w: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175:113806</w:t>
      </w:r>
    </w:p>
    <w:p w14:paraId="175DC89F" w14:textId="165009C6" w:rsidR="003040CF" w:rsidRPr="00D508B1" w:rsidRDefault="003040CF" w:rsidP="00C315D2">
      <w:pPr>
        <w:spacing w:after="0" w:line="240" w:lineRule="auto"/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(2) </w:t>
      </w:r>
      <w:r w:rsidRPr="00D508B1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Murray, J. et al (2023) European Journal of Pharmaceutical Sciences 191:106562</w:t>
      </w:r>
    </w:p>
    <w:p w14:paraId="3AADF836" w14:textId="076B1FB2" w:rsidR="003040CF" w:rsidRPr="00D508B1" w:rsidRDefault="00D07BE4" w:rsidP="003040CF">
      <w:pPr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</w:t>
      </w:r>
      <w:r w:rsidR="003040CF"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3</w:t>
      </w:r>
      <w:r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) </w:t>
      </w:r>
      <w:r w:rsidR="003040CF"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Hang, N. et al (2024) </w:t>
      </w:r>
      <w:r w:rsidR="003040CF" w:rsidRPr="00D508B1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International Journal of Pharmaceutics</w:t>
      </w:r>
      <w:r w:rsidR="003040CF" w:rsidRPr="00D508B1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653:123884</w:t>
      </w:r>
    </w:p>
    <w:p w14:paraId="4432C59D" w14:textId="1793ACD6" w:rsidR="003040CF" w:rsidRPr="00D07BE4" w:rsidRDefault="003040CF" w:rsidP="00C315D2">
      <w:pPr>
        <w:jc w:val="both"/>
        <w:rPr>
          <w:rFonts w:ascii="Arial" w:eastAsia="맑은 고딕" w:hAnsi="Arial" w:cs="Calibri"/>
          <w:bCs/>
          <w:color w:val="FF0000"/>
          <w:kern w:val="0"/>
          <w:sz w:val="20"/>
          <w:szCs w:val="20"/>
          <w:lang w:val="en-US" w:eastAsia="ko-KR"/>
          <w14:ligatures w14:val="none"/>
        </w:rPr>
      </w:pPr>
    </w:p>
    <w:sectPr w:rsidR="003040CF" w:rsidRPr="00D0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94B2" w14:textId="77777777" w:rsidR="00513754" w:rsidRDefault="00513754" w:rsidP="00CB5808">
      <w:pPr>
        <w:spacing w:after="0" w:line="240" w:lineRule="auto"/>
      </w:pPr>
      <w:r>
        <w:separator/>
      </w:r>
    </w:p>
  </w:endnote>
  <w:endnote w:type="continuationSeparator" w:id="0">
    <w:p w14:paraId="133AE85A" w14:textId="77777777" w:rsidR="00513754" w:rsidRDefault="00513754" w:rsidP="00CB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2FA2" w14:textId="77777777" w:rsidR="00513754" w:rsidRDefault="00513754" w:rsidP="00CB5808">
      <w:pPr>
        <w:spacing w:after="0" w:line="240" w:lineRule="auto"/>
      </w:pPr>
      <w:r>
        <w:separator/>
      </w:r>
    </w:p>
  </w:footnote>
  <w:footnote w:type="continuationSeparator" w:id="0">
    <w:p w14:paraId="2AFC013B" w14:textId="77777777" w:rsidR="00513754" w:rsidRDefault="00513754" w:rsidP="00CB5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1FB7"/>
    <w:rsid w:val="000835F3"/>
    <w:rsid w:val="00107368"/>
    <w:rsid w:val="00113A71"/>
    <w:rsid w:val="00113BB7"/>
    <w:rsid w:val="001142FD"/>
    <w:rsid w:val="00115BF2"/>
    <w:rsid w:val="00130365"/>
    <w:rsid w:val="001554B7"/>
    <w:rsid w:val="00161CC7"/>
    <w:rsid w:val="0017795C"/>
    <w:rsid w:val="001840AA"/>
    <w:rsid w:val="001C003B"/>
    <w:rsid w:val="001E0E93"/>
    <w:rsid w:val="001F53D5"/>
    <w:rsid w:val="002017E6"/>
    <w:rsid w:val="0025130C"/>
    <w:rsid w:val="0029400A"/>
    <w:rsid w:val="00294059"/>
    <w:rsid w:val="002F73AB"/>
    <w:rsid w:val="003040CF"/>
    <w:rsid w:val="003206E4"/>
    <w:rsid w:val="00345524"/>
    <w:rsid w:val="00347D04"/>
    <w:rsid w:val="003622CA"/>
    <w:rsid w:val="003703DF"/>
    <w:rsid w:val="003849B1"/>
    <w:rsid w:val="00385024"/>
    <w:rsid w:val="003A6D5C"/>
    <w:rsid w:val="003B51B1"/>
    <w:rsid w:val="003F0B1D"/>
    <w:rsid w:val="00484DB0"/>
    <w:rsid w:val="004A51B6"/>
    <w:rsid w:val="00507F8E"/>
    <w:rsid w:val="00510CF8"/>
    <w:rsid w:val="00513754"/>
    <w:rsid w:val="00540932"/>
    <w:rsid w:val="00564910"/>
    <w:rsid w:val="00567AF4"/>
    <w:rsid w:val="00575A29"/>
    <w:rsid w:val="005A3D2E"/>
    <w:rsid w:val="00601754"/>
    <w:rsid w:val="00613B51"/>
    <w:rsid w:val="00665C34"/>
    <w:rsid w:val="006A34BE"/>
    <w:rsid w:val="006C10D9"/>
    <w:rsid w:val="006F3F1C"/>
    <w:rsid w:val="007141F2"/>
    <w:rsid w:val="007561D8"/>
    <w:rsid w:val="00773473"/>
    <w:rsid w:val="00795378"/>
    <w:rsid w:val="00796206"/>
    <w:rsid w:val="007C27E9"/>
    <w:rsid w:val="007C367E"/>
    <w:rsid w:val="007C6A36"/>
    <w:rsid w:val="008071C5"/>
    <w:rsid w:val="008A7029"/>
    <w:rsid w:val="008F122F"/>
    <w:rsid w:val="00906D34"/>
    <w:rsid w:val="00915B0B"/>
    <w:rsid w:val="00933DC9"/>
    <w:rsid w:val="00936D4C"/>
    <w:rsid w:val="0095098E"/>
    <w:rsid w:val="009523F9"/>
    <w:rsid w:val="00953542"/>
    <w:rsid w:val="009650DF"/>
    <w:rsid w:val="009B1CBB"/>
    <w:rsid w:val="009C5202"/>
    <w:rsid w:val="009F0B59"/>
    <w:rsid w:val="00A0516D"/>
    <w:rsid w:val="00A32E59"/>
    <w:rsid w:val="00A44B4B"/>
    <w:rsid w:val="00A8043E"/>
    <w:rsid w:val="00B157C3"/>
    <w:rsid w:val="00B4721D"/>
    <w:rsid w:val="00B54284"/>
    <w:rsid w:val="00B6088B"/>
    <w:rsid w:val="00B81D45"/>
    <w:rsid w:val="00B8473A"/>
    <w:rsid w:val="00B9390F"/>
    <w:rsid w:val="00BF3FCB"/>
    <w:rsid w:val="00C104D9"/>
    <w:rsid w:val="00C21815"/>
    <w:rsid w:val="00C315D2"/>
    <w:rsid w:val="00C353D8"/>
    <w:rsid w:val="00C364C0"/>
    <w:rsid w:val="00C73C59"/>
    <w:rsid w:val="00CB5808"/>
    <w:rsid w:val="00CC7301"/>
    <w:rsid w:val="00CF5A91"/>
    <w:rsid w:val="00D02BB1"/>
    <w:rsid w:val="00D04AC3"/>
    <w:rsid w:val="00D07BE4"/>
    <w:rsid w:val="00D11752"/>
    <w:rsid w:val="00D45A74"/>
    <w:rsid w:val="00D508B1"/>
    <w:rsid w:val="00D7428F"/>
    <w:rsid w:val="00DA6638"/>
    <w:rsid w:val="00E85134"/>
    <w:rsid w:val="00EB3F33"/>
    <w:rsid w:val="00EC3746"/>
    <w:rsid w:val="00ED4035"/>
    <w:rsid w:val="00EF4F05"/>
    <w:rsid w:val="00F35A17"/>
    <w:rsid w:val="00F539FB"/>
    <w:rsid w:val="00F53D14"/>
    <w:rsid w:val="00F82EAD"/>
    <w:rsid w:val="00F85528"/>
    <w:rsid w:val="00FC4E98"/>
    <w:rsid w:val="00FF03C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B580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B5808"/>
  </w:style>
  <w:style w:type="paragraph" w:styleId="ab">
    <w:name w:val="footer"/>
    <w:basedOn w:val="a"/>
    <w:link w:val="Char4"/>
    <w:uiPriority w:val="99"/>
    <w:unhideWhenUsed/>
    <w:rsid w:val="00CB580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B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박성모</cp:lastModifiedBy>
  <cp:revision>51</cp:revision>
  <dcterms:created xsi:type="dcterms:W3CDTF">2025-03-11T02:17:00Z</dcterms:created>
  <dcterms:modified xsi:type="dcterms:W3CDTF">2025-05-26T00:06:00Z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