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28B5551F" w:rsidR="00711813" w:rsidRPr="00DF1C8E" w:rsidRDefault="00E20AD1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Preparation and characterisation of hydrogel </w:t>
      </w:r>
      <w:proofErr w:type="spellStart"/>
      <w:r>
        <w:rPr>
          <w:rFonts w:ascii="Calibri" w:hAnsi="Calibri" w:cs="Calibri"/>
          <w:b/>
          <w:sz w:val="28"/>
          <w:szCs w:val="28"/>
          <w:lang w:val="en-AU"/>
        </w:rPr>
        <w:t>biointerfaces</w:t>
      </w:r>
      <w:proofErr w:type="spellEnd"/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65CAC440" w:rsidR="00DF1C8E" w:rsidRPr="005F19FF" w:rsidRDefault="00C1728E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 w:rsidRPr="00B32731">
        <w:rPr>
          <w:rFonts w:ascii="Calibri" w:hAnsi="Calibri" w:cs="Calibri"/>
          <w:i/>
          <w:u w:val="single"/>
          <w:lang w:val="en-AU"/>
        </w:rPr>
        <w:t xml:space="preserve">Jenny </w:t>
      </w:r>
      <w:proofErr w:type="spellStart"/>
      <w:r w:rsidRPr="00B32731">
        <w:rPr>
          <w:rFonts w:ascii="Calibri" w:hAnsi="Calibri" w:cs="Calibri"/>
          <w:i/>
          <w:u w:val="single"/>
          <w:lang w:val="en-AU"/>
        </w:rPr>
        <w:t>Malmstr</w:t>
      </w:r>
      <w:r w:rsidR="00E20AD1" w:rsidRPr="00B32731">
        <w:rPr>
          <w:rFonts w:ascii="Calibri" w:hAnsi="Calibri" w:cs="Calibri"/>
          <w:i/>
          <w:u w:val="single"/>
          <w:lang w:val="en-AU"/>
        </w:rPr>
        <w:t>ö</w:t>
      </w:r>
      <w:r w:rsidRPr="00B32731">
        <w:rPr>
          <w:rFonts w:ascii="Calibri" w:hAnsi="Calibri" w:cs="Calibri"/>
          <w:i/>
          <w:u w:val="single"/>
          <w:lang w:val="en-AU"/>
        </w:rPr>
        <w:t>m</w:t>
      </w:r>
      <w:r w:rsidR="00E20AD1" w:rsidRPr="00B32731">
        <w:rPr>
          <w:rFonts w:ascii="Calibri" w:hAnsi="Calibri" w:cs="Calibri"/>
          <w:i/>
          <w:u w:val="single"/>
          <w:vertAlign w:val="superscript"/>
          <w:lang w:val="en-AU"/>
        </w:rPr>
        <w:t>A</w:t>
      </w:r>
      <w:proofErr w:type="gramStart"/>
      <w:r w:rsidR="00E20AD1" w:rsidRPr="00E20AD1">
        <w:rPr>
          <w:rFonts w:ascii="Calibri" w:hAnsi="Calibri" w:cs="Calibri"/>
          <w:i/>
          <w:vertAlign w:val="superscript"/>
          <w:lang w:val="en-AU"/>
        </w:rPr>
        <w:t>,B</w:t>
      </w:r>
      <w:proofErr w:type="spellEnd"/>
      <w:proofErr w:type="gramEnd"/>
      <w:r>
        <w:rPr>
          <w:rFonts w:ascii="Calibri" w:hAnsi="Calibri" w:cs="Calibri"/>
          <w:i/>
          <w:lang w:val="en-AU"/>
        </w:rPr>
        <w:t xml:space="preserve">, </w:t>
      </w:r>
      <w:proofErr w:type="spellStart"/>
      <w:r>
        <w:rPr>
          <w:rFonts w:ascii="Calibri" w:hAnsi="Calibri" w:cs="Calibri"/>
          <w:i/>
          <w:lang w:val="en-AU"/>
        </w:rPr>
        <w:t>Badri</w:t>
      </w:r>
      <w:proofErr w:type="spellEnd"/>
      <w:r>
        <w:rPr>
          <w:rFonts w:ascii="Calibri" w:hAnsi="Calibri" w:cs="Calibri"/>
          <w:i/>
          <w:lang w:val="en-AU"/>
        </w:rPr>
        <w:t xml:space="preserve"> Narayanan </w:t>
      </w:r>
      <w:proofErr w:type="spellStart"/>
      <w:r>
        <w:rPr>
          <w:rFonts w:ascii="Calibri" w:hAnsi="Calibri" w:cs="Calibri"/>
          <w:i/>
          <w:lang w:val="en-AU"/>
        </w:rPr>
        <w:t>Narasimhan</w:t>
      </w:r>
      <w:r w:rsidR="00E20AD1" w:rsidRPr="00E20AD1">
        <w:rPr>
          <w:rFonts w:ascii="Calibri" w:hAnsi="Calibri" w:cs="Calibri"/>
          <w:i/>
          <w:vertAlign w:val="superscript"/>
          <w:lang w:val="en-AU"/>
        </w:rPr>
        <w:t>A,B</w:t>
      </w:r>
      <w:proofErr w:type="spellEnd"/>
      <w:r>
        <w:rPr>
          <w:rFonts w:ascii="Calibri" w:hAnsi="Calibri" w:cs="Calibri"/>
          <w:i/>
          <w:lang w:val="en-AU"/>
        </w:rPr>
        <w:t xml:space="preserve">, Matthew </w:t>
      </w:r>
      <w:proofErr w:type="spellStart"/>
      <w:r>
        <w:rPr>
          <w:rFonts w:ascii="Calibri" w:hAnsi="Calibri" w:cs="Calibri"/>
          <w:i/>
          <w:lang w:val="en-AU"/>
        </w:rPr>
        <w:t>Ting</w:t>
      </w:r>
      <w:r w:rsidR="00E20AD1" w:rsidRPr="00E20AD1">
        <w:rPr>
          <w:rFonts w:ascii="Calibri" w:hAnsi="Calibri" w:cs="Calibri"/>
          <w:i/>
          <w:vertAlign w:val="superscript"/>
          <w:lang w:val="en-AU"/>
        </w:rPr>
        <w:t>A,B</w:t>
      </w:r>
      <w:proofErr w:type="spellEnd"/>
      <w:r w:rsidRPr="00E20AD1">
        <w:rPr>
          <w:rFonts w:ascii="Calibri" w:hAnsi="Calibri" w:cs="Calibri"/>
          <w:i/>
          <w:vertAlign w:val="superscript"/>
          <w:lang w:val="en-AU"/>
        </w:rPr>
        <w:t xml:space="preserve"> 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762349B8" w:rsidR="00711813" w:rsidRPr="006B3866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Dep</w:t>
      </w:r>
      <w:r w:rsidR="008909C9" w:rsidRPr="006B3866">
        <w:rPr>
          <w:rFonts w:ascii="Calibri" w:hAnsi="Calibri" w:cs="Calibri"/>
          <w:sz w:val="22"/>
          <w:szCs w:val="22"/>
          <w:lang w:val="en-AU"/>
        </w:rPr>
        <w:t>artment</w:t>
      </w:r>
      <w:proofErr w:type="spellEnd"/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20AD1">
        <w:rPr>
          <w:rFonts w:ascii="Calibri" w:hAnsi="Calibri" w:cs="Calibri"/>
          <w:sz w:val="22"/>
          <w:szCs w:val="22"/>
          <w:lang w:val="en-AU"/>
        </w:rPr>
        <w:t>of Chemical and Materials Engineering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E20AD1">
        <w:rPr>
          <w:rFonts w:ascii="Calibri" w:hAnsi="Calibri" w:cs="Calibri"/>
          <w:sz w:val="22"/>
          <w:szCs w:val="22"/>
          <w:lang w:val="en-AU"/>
        </w:rPr>
        <w:t>University of Auckland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E20AD1">
        <w:rPr>
          <w:rFonts w:ascii="Calibri" w:hAnsi="Calibri" w:cs="Calibri"/>
          <w:sz w:val="22"/>
          <w:szCs w:val="22"/>
          <w:lang w:val="en-AU"/>
        </w:rPr>
        <w:t>Auckland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E20AD1">
        <w:rPr>
          <w:rFonts w:ascii="Calibri" w:hAnsi="Calibri" w:cs="Calibri"/>
          <w:sz w:val="22"/>
          <w:szCs w:val="22"/>
          <w:lang w:val="en-AU"/>
        </w:rPr>
        <w:t>New Zealand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E20AD1">
        <w:rPr>
          <w:rFonts w:ascii="Calibri" w:hAnsi="Calibri" w:cs="Calibri"/>
          <w:sz w:val="22"/>
          <w:szCs w:val="22"/>
          <w:lang w:val="en-AU"/>
        </w:rPr>
        <w:t>The</w:t>
      </w:r>
      <w:proofErr w:type="spellEnd"/>
      <w:r w:rsidR="00E20AD1">
        <w:rPr>
          <w:rFonts w:ascii="Calibri" w:hAnsi="Calibri" w:cs="Calibri"/>
          <w:sz w:val="22"/>
          <w:szCs w:val="22"/>
          <w:lang w:val="en-AU"/>
        </w:rPr>
        <w:t xml:space="preserve"> MacDiarmid Institute for Advanced Materials and Nanotechnology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E20AD1">
        <w:rPr>
          <w:rFonts w:ascii="Calibri" w:hAnsi="Calibri" w:cs="Calibri"/>
          <w:sz w:val="22"/>
          <w:szCs w:val="22"/>
          <w:lang w:val="en-AU"/>
        </w:rPr>
        <w:t>Wellington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E20AD1">
        <w:rPr>
          <w:rFonts w:ascii="Calibri" w:hAnsi="Calibri" w:cs="Calibri"/>
          <w:sz w:val="22"/>
          <w:szCs w:val="22"/>
          <w:lang w:val="en-AU"/>
        </w:rPr>
        <w:t>New Zealand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734471FB" w14:textId="77777777" w:rsidR="00641190" w:rsidRPr="006B3866" w:rsidRDefault="00641190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794F8FFC" w14:textId="7386DA5B" w:rsidR="00E20AD1" w:rsidRPr="00E20AD1" w:rsidRDefault="00E20AD1" w:rsidP="00E20AD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E20AD1">
        <w:rPr>
          <w:rFonts w:ascii="Calibri" w:hAnsi="Calibri" w:cs="Calibri"/>
          <w:sz w:val="22"/>
          <w:szCs w:val="22"/>
          <w:lang w:val="en-AU"/>
        </w:rPr>
        <w:t xml:space="preserve">The success of stem cell therapies and tissue engineering relies on fundamental knowledge of cell fate and stem cell </w:t>
      </w:r>
      <w:r w:rsidRPr="00E20AD1">
        <w:rPr>
          <w:rFonts w:ascii="Calibri" w:hAnsi="Calibri" w:cs="Calibri"/>
          <w:sz w:val="22"/>
          <w:szCs w:val="22"/>
          <w:lang w:val="en-AU"/>
        </w:rPr>
        <w:t>behaviour</w:t>
      </w:r>
      <w:r w:rsidRPr="00E20AD1">
        <w:rPr>
          <w:rFonts w:ascii="Calibri" w:hAnsi="Calibri" w:cs="Calibri"/>
          <w:sz w:val="22"/>
          <w:szCs w:val="22"/>
          <w:lang w:val="en-AU"/>
        </w:rPr>
        <w:t xml:space="preserve"> both in vivo and in vitro. Cells sense and adapt to forces and physical constraints imposed by the extra cellular matrix. Such </w:t>
      </w:r>
      <w:proofErr w:type="spellStart"/>
      <w:r w:rsidRPr="00E20AD1">
        <w:rPr>
          <w:rFonts w:ascii="Calibri" w:hAnsi="Calibri" w:cs="Calibri"/>
          <w:sz w:val="22"/>
          <w:szCs w:val="22"/>
          <w:lang w:val="en-AU"/>
        </w:rPr>
        <w:t>mechanotransduction</w:t>
      </w:r>
      <w:proofErr w:type="spellEnd"/>
      <w:r w:rsidRPr="00E20AD1">
        <w:rPr>
          <w:rFonts w:ascii="Calibri" w:hAnsi="Calibri" w:cs="Calibri"/>
          <w:sz w:val="22"/>
          <w:szCs w:val="22"/>
          <w:lang w:val="en-AU"/>
        </w:rPr>
        <w:t xml:space="preserve"> plays a crucial role in cell function, differentiation and cancer. The ECM mechanical rigidit</w:t>
      </w:r>
      <w:r w:rsidR="005A5089">
        <w:rPr>
          <w:rFonts w:ascii="Calibri" w:hAnsi="Calibri" w:cs="Calibri"/>
          <w:sz w:val="22"/>
          <w:szCs w:val="22"/>
          <w:lang w:val="en-AU"/>
        </w:rPr>
        <w:t xml:space="preserve">y and distribution of ligands </w:t>
      </w:r>
      <w:proofErr w:type="gramStart"/>
      <w:r w:rsidR="005A5089">
        <w:rPr>
          <w:rFonts w:ascii="Calibri" w:hAnsi="Calibri" w:cs="Calibri"/>
          <w:sz w:val="22"/>
          <w:szCs w:val="22"/>
          <w:lang w:val="en-AU"/>
        </w:rPr>
        <w:t>are</w:t>
      </w:r>
      <w:r w:rsidRPr="00E20AD1">
        <w:rPr>
          <w:rFonts w:ascii="Calibri" w:hAnsi="Calibri" w:cs="Calibri"/>
          <w:sz w:val="22"/>
          <w:szCs w:val="22"/>
          <w:lang w:val="en-AU"/>
        </w:rPr>
        <w:t xml:space="preserve"> both sensed and modulated through the contractile and adhesive molecular machinery in the cells</w:t>
      </w:r>
      <w:proofErr w:type="gramEnd"/>
      <w:r w:rsidRPr="00E20AD1">
        <w:rPr>
          <w:rFonts w:ascii="Calibri" w:hAnsi="Calibri" w:cs="Calibri"/>
          <w:sz w:val="22"/>
          <w:szCs w:val="22"/>
          <w:lang w:val="en-AU"/>
        </w:rPr>
        <w:t xml:space="preserve">. This machinery consists of bonds between the ECM and transmembrane integrin receptors, adaptor protein and the force generating </w:t>
      </w:r>
      <w:proofErr w:type="spellStart"/>
      <w:r w:rsidRPr="00E20AD1">
        <w:rPr>
          <w:rFonts w:ascii="Calibri" w:hAnsi="Calibri" w:cs="Calibri"/>
          <w:sz w:val="22"/>
          <w:szCs w:val="22"/>
          <w:lang w:val="en-AU"/>
        </w:rPr>
        <w:t>actomyosin</w:t>
      </w:r>
      <w:proofErr w:type="spellEnd"/>
      <w:r w:rsidRPr="00E20AD1">
        <w:rPr>
          <w:rFonts w:ascii="Calibri" w:hAnsi="Calibri" w:cs="Calibri"/>
          <w:sz w:val="22"/>
          <w:szCs w:val="22"/>
          <w:lang w:val="en-AU"/>
        </w:rPr>
        <w:t xml:space="preserve"> cytoskeleton, often referred to as a molecular clutch.</w:t>
      </w:r>
      <w:r>
        <w:rPr>
          <w:rFonts w:ascii="Calibri" w:hAnsi="Calibri" w:cs="Calibri"/>
          <w:sz w:val="22"/>
          <w:szCs w:val="22"/>
          <w:lang w:val="en-AU"/>
        </w:rPr>
        <w:fldChar w:fldCharType="begin"/>
      </w:r>
      <w:r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&lt;EndNote&gt;&lt;Cite&gt;&lt;Author&gt;Monteiro&lt;/Author&gt;&lt;Year&gt;2018&lt;/Year&gt;&lt;RecNum&gt;1643&lt;/RecNum&gt;&lt;DisplayText&gt;&lt;style face="superscript"&gt;1&lt;/style&gt;&lt;/DisplayText&gt;&lt;record&gt;&lt;rec-number&gt;1643&lt;/rec-number&gt;&lt;foreign-keys&gt;&lt;key app="EN" db-id="902ad5reusadwxeaffpvw2x1rx5fsfvx5zzx" timestamp="1566873786"&gt;1643&lt;/key&gt;&lt;/foreign-keys&gt;&lt;ref-type name="Journal Article"&gt;17&lt;/ref-type&gt;&lt;contributors&gt;&lt;authors&gt;&lt;author&gt;Monteiro, A. I.&lt;/author&gt;&lt;author&gt;Kollmetz, T.&lt;/author&gt;&lt;author&gt;Malmström, J.&lt;/author&gt;&lt;/authors&gt;&lt;/contributors&gt;&lt;titles&gt;&lt;title&gt;Engineered systems to study the synergistic signaling between integrin-mediated mechanotransduction and growth factors (Review)&lt;/title&gt;&lt;secondary-title&gt;Biointerphases&lt;/secondary-title&gt;&lt;/titles&gt;&lt;periodical&gt;&lt;full-title&gt;Biointerphases&lt;/full-title&gt;&lt;/periodical&gt;&lt;volume&gt;13&lt;/volume&gt;&lt;number&gt;6&lt;/number&gt;&lt;dates&gt;&lt;year&gt;2018&lt;/year&gt;&lt;/dates&gt;&lt;work-type&gt;Review&lt;/work-type&gt;&lt;urls&gt;&lt;related-urls&gt;&lt;url&gt;https://www.scopus.com/inward/record.uri?eid=2-s2.0-85053882499&amp;amp;doi=10.1116%2f1.5045231&amp;amp;partnerID=40&amp;amp;md5=905c5877a1e128aaddc3dbee15562fd8&lt;/url&gt;&lt;/related-urls&gt;&lt;/urls&gt;&lt;custom7&gt;5045231&lt;/custom7&gt;&lt;electronic-resource-num&gt;10.1116/1.5045231&lt;/electronic-resource-num&gt;&lt;remote-database-name&gt;Scopus&lt;/remote-database-name&gt;&lt;/record&gt;&lt;/Cite&gt;&lt;/EndNote&gt;</w:instrText>
      </w:r>
      <w:r>
        <w:rPr>
          <w:rFonts w:ascii="Calibri" w:hAnsi="Calibri" w:cs="Calibri"/>
          <w:sz w:val="22"/>
          <w:szCs w:val="22"/>
          <w:lang w:val="en-AU"/>
        </w:rPr>
        <w:fldChar w:fldCharType="separate"/>
      </w:r>
      <w:r w:rsidRPr="00E20AD1">
        <w:rPr>
          <w:rFonts w:ascii="Calibri" w:hAnsi="Calibri" w:cs="Calibri"/>
          <w:noProof/>
          <w:sz w:val="22"/>
          <w:szCs w:val="22"/>
          <w:vertAlign w:val="superscript"/>
          <w:lang w:val="en-AU"/>
        </w:rPr>
        <w:t>1</w:t>
      </w:r>
      <w:r>
        <w:rPr>
          <w:rFonts w:ascii="Calibri" w:hAnsi="Calibri" w:cs="Calibri"/>
          <w:sz w:val="22"/>
          <w:szCs w:val="22"/>
          <w:lang w:val="en-AU"/>
        </w:rPr>
        <w:fldChar w:fldCharType="end"/>
      </w:r>
      <w:r w:rsidRPr="00E20AD1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7C53BE77" w14:textId="4B4AF9D2" w:rsidR="00E20AD1" w:rsidRPr="00E20AD1" w:rsidRDefault="00E20AD1" w:rsidP="00E20AD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E20AD1">
        <w:rPr>
          <w:rFonts w:ascii="Calibri" w:hAnsi="Calibri" w:cs="Calibri"/>
          <w:sz w:val="22"/>
          <w:szCs w:val="22"/>
          <w:lang w:val="en-AU"/>
        </w:rPr>
        <w:t xml:space="preserve">Previous technological developments have provided interfaces with well-defined patterns, chemistry or stiffness, which revolutionized how biological questions </w:t>
      </w:r>
      <w:proofErr w:type="gramStart"/>
      <w:r w:rsidRPr="00E20AD1">
        <w:rPr>
          <w:rFonts w:ascii="Calibri" w:hAnsi="Calibri" w:cs="Calibri"/>
          <w:sz w:val="22"/>
          <w:szCs w:val="22"/>
          <w:lang w:val="en-AU"/>
        </w:rPr>
        <w:t>can be answered</w:t>
      </w:r>
      <w:proofErr w:type="gramEnd"/>
      <w:r>
        <w:rPr>
          <w:rFonts w:ascii="Calibri" w:hAnsi="Calibri" w:cs="Calibri"/>
          <w:sz w:val="22"/>
          <w:szCs w:val="22"/>
          <w:lang w:val="en-AU"/>
        </w:rPr>
        <w:t>.</w:t>
      </w:r>
      <w:r w:rsidRPr="00E20AD1">
        <w:rPr>
          <w:rFonts w:ascii="Calibri" w:hAnsi="Calibri" w:cs="Calibri"/>
          <w:sz w:val="22"/>
          <w:szCs w:val="22"/>
          <w:lang w:val="en-AU"/>
        </w:rPr>
        <w:t xml:space="preserve"> Current research is expanding these parameters to exploring viscoelastic and strain stiffening materials, dynamic materials and controlled display/delivery of multiple signals. </w:t>
      </w:r>
    </w:p>
    <w:p w14:paraId="33BEC841" w14:textId="77777777" w:rsidR="00E20AD1" w:rsidRPr="00E20AD1" w:rsidRDefault="00E20AD1" w:rsidP="00E20AD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3915242E" w14:textId="03E51820" w:rsidR="00E20AD1" w:rsidRPr="00E20AD1" w:rsidRDefault="00E20AD1" w:rsidP="00E20AD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E20AD1">
        <w:rPr>
          <w:rFonts w:ascii="Calibri" w:hAnsi="Calibri" w:cs="Calibri"/>
          <w:sz w:val="22"/>
          <w:szCs w:val="22"/>
          <w:lang w:val="en-AU"/>
        </w:rPr>
        <w:t>In our research group, we</w:t>
      </w:r>
      <w:r w:rsidR="005A5089">
        <w:rPr>
          <w:rFonts w:ascii="Calibri" w:hAnsi="Calibri" w:cs="Calibri"/>
          <w:sz w:val="22"/>
          <w:szCs w:val="22"/>
          <w:lang w:val="en-AU"/>
        </w:rPr>
        <w:t xml:space="preserve"> are</w:t>
      </w:r>
      <w:r w:rsidRPr="00E20AD1">
        <w:rPr>
          <w:rFonts w:ascii="Calibri" w:hAnsi="Calibri" w:cs="Calibri"/>
          <w:sz w:val="22"/>
          <w:szCs w:val="22"/>
          <w:lang w:val="en-AU"/>
        </w:rPr>
        <w:t xml:space="preserve"> developing materials to achieve spatiotemporal control over mechanical properties, and materials aimed at controlled delivery of growth factors to study the synergies between </w:t>
      </w:r>
      <w:proofErr w:type="spellStart"/>
      <w:r w:rsidRPr="00E20AD1">
        <w:rPr>
          <w:rFonts w:ascii="Calibri" w:hAnsi="Calibri" w:cs="Calibri"/>
          <w:sz w:val="22"/>
          <w:szCs w:val="22"/>
          <w:lang w:val="en-AU"/>
        </w:rPr>
        <w:t>mechanotransduction</w:t>
      </w:r>
      <w:proofErr w:type="spellEnd"/>
      <w:r w:rsidRPr="00E20AD1">
        <w:rPr>
          <w:rFonts w:ascii="Calibri" w:hAnsi="Calibri" w:cs="Calibri"/>
          <w:sz w:val="22"/>
          <w:szCs w:val="22"/>
          <w:lang w:val="en-AU"/>
        </w:rPr>
        <w:t xml:space="preserve"> and growth factor </w:t>
      </w:r>
      <w:r w:rsidRPr="00E20AD1">
        <w:rPr>
          <w:rFonts w:ascii="Calibri" w:hAnsi="Calibri" w:cs="Calibri"/>
          <w:sz w:val="22"/>
          <w:szCs w:val="22"/>
          <w:lang w:val="en-AU"/>
        </w:rPr>
        <w:t>signalling</w:t>
      </w:r>
      <w:r w:rsidRPr="00E20AD1">
        <w:rPr>
          <w:rFonts w:ascii="Calibri" w:hAnsi="Calibri" w:cs="Calibri"/>
          <w:sz w:val="22"/>
          <w:szCs w:val="22"/>
          <w:lang w:val="en-AU"/>
        </w:rPr>
        <w:t xml:space="preserve">. </w:t>
      </w:r>
    </w:p>
    <w:p w14:paraId="7B19C5E2" w14:textId="77777777" w:rsidR="00E20AD1" w:rsidRPr="00E20AD1" w:rsidRDefault="00E20AD1" w:rsidP="00E20AD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66DA9A5" w14:textId="1DDF97CA" w:rsidR="004E5450" w:rsidRDefault="00E20AD1" w:rsidP="00E20AD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Specifically, w</w:t>
      </w:r>
      <w:r w:rsidRPr="00E20AD1">
        <w:rPr>
          <w:rFonts w:ascii="Calibri" w:hAnsi="Calibri" w:cs="Calibri"/>
          <w:sz w:val="22"/>
          <w:szCs w:val="22"/>
          <w:lang w:val="en-AU"/>
        </w:rPr>
        <w:t xml:space="preserve">e are tailoring the mechanical properties of hydrogels by polymerizing a second network inside polyacrylamide gels. The results highlight the importance of interactions between the two networks, where interacting networks give rise to a higher </w:t>
      </w:r>
      <w:r w:rsidR="005A5089">
        <w:rPr>
          <w:rFonts w:ascii="Calibri" w:hAnsi="Calibri" w:cs="Calibri"/>
          <w:sz w:val="22"/>
          <w:szCs w:val="22"/>
          <w:lang w:val="en-AU"/>
        </w:rPr>
        <w:t>dissipation</w:t>
      </w:r>
      <w:r w:rsidRPr="00E20AD1">
        <w:rPr>
          <w:rFonts w:ascii="Calibri" w:hAnsi="Calibri" w:cs="Calibri"/>
          <w:sz w:val="22"/>
          <w:szCs w:val="22"/>
          <w:lang w:val="en-AU"/>
        </w:rPr>
        <w:t>.  By using light to polymerise the second network, it is possible to create gradients in dissipation, without changing the elastic modulus. We have also developed a range of conductive hydrogels, with the aim to provide tools for both electrical and mechanical stimulation of cells. The preparation and</w:t>
      </w:r>
      <w:r w:rsidR="005A5089">
        <w:rPr>
          <w:rFonts w:ascii="Calibri" w:hAnsi="Calibri" w:cs="Calibri"/>
          <w:sz w:val="22"/>
          <w:szCs w:val="22"/>
          <w:lang w:val="en-AU"/>
        </w:rPr>
        <w:t xml:space="preserve"> characterisation (</w:t>
      </w:r>
      <w:r w:rsidRPr="00E20AD1">
        <w:rPr>
          <w:rFonts w:ascii="Calibri" w:hAnsi="Calibri" w:cs="Calibri"/>
          <w:sz w:val="22"/>
          <w:szCs w:val="22"/>
          <w:lang w:val="en-AU"/>
        </w:rPr>
        <w:t>mechanical and electrochemical</w:t>
      </w:r>
      <w:r w:rsidR="005A5089">
        <w:rPr>
          <w:rFonts w:ascii="Calibri" w:hAnsi="Calibri" w:cs="Calibri"/>
          <w:sz w:val="22"/>
          <w:szCs w:val="22"/>
          <w:lang w:val="en-AU"/>
        </w:rPr>
        <w:t>)</w:t>
      </w:r>
      <w:r w:rsidRPr="00E20AD1">
        <w:rPr>
          <w:rFonts w:ascii="Calibri" w:hAnsi="Calibri" w:cs="Calibri"/>
          <w:sz w:val="22"/>
          <w:szCs w:val="22"/>
          <w:lang w:val="en-AU"/>
        </w:rPr>
        <w:t xml:space="preserve"> of these gels </w:t>
      </w:r>
      <w:proofErr w:type="gramStart"/>
      <w:r w:rsidRPr="00E20AD1">
        <w:rPr>
          <w:rFonts w:ascii="Calibri" w:hAnsi="Calibri" w:cs="Calibri"/>
          <w:sz w:val="22"/>
          <w:szCs w:val="22"/>
          <w:lang w:val="en-AU"/>
        </w:rPr>
        <w:t>will be presented</w:t>
      </w:r>
      <w:proofErr w:type="gramEnd"/>
      <w:r w:rsidRPr="00E20AD1">
        <w:rPr>
          <w:rFonts w:ascii="Calibri" w:hAnsi="Calibri" w:cs="Calibri"/>
          <w:sz w:val="22"/>
          <w:szCs w:val="22"/>
          <w:lang w:val="en-AU"/>
        </w:rPr>
        <w:t xml:space="preserve">. </w:t>
      </w:r>
    </w:p>
    <w:p w14:paraId="25CED429" w14:textId="0AADF014" w:rsidR="005A5089" w:rsidRDefault="005A5089" w:rsidP="00E20AD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4DDFF82C" w14:textId="5AB52F4F" w:rsidR="005A5089" w:rsidRDefault="005A5089" w:rsidP="00E20AD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noProof/>
          <w:lang w:val="en-NZ" w:eastAsia="en-NZ"/>
        </w:rPr>
        <w:drawing>
          <wp:inline distT="0" distB="0" distL="0" distR="0" wp14:anchorId="6A699570" wp14:editId="2AA12EA6">
            <wp:extent cx="3924300" cy="1447800"/>
            <wp:effectExtent l="0" t="0" r="0" b="0"/>
            <wp:docPr id="1" name="Picture 1" descr="Conductingpolymerhydrog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uctingpolymerhydrogel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4E2C8" w14:textId="498469B1" w:rsidR="005A5089" w:rsidRDefault="005A5089" w:rsidP="00E20AD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5A5089">
        <w:rPr>
          <w:rFonts w:ascii="Calibri" w:hAnsi="Calibri" w:cs="Calibri"/>
          <w:b/>
          <w:sz w:val="22"/>
          <w:szCs w:val="22"/>
          <w:lang w:val="en-AU"/>
        </w:rPr>
        <w:t>Figure</w:t>
      </w:r>
      <w:r>
        <w:rPr>
          <w:rFonts w:ascii="Calibri" w:hAnsi="Calibri" w:cs="Calibri"/>
          <w:sz w:val="22"/>
          <w:szCs w:val="22"/>
          <w:lang w:val="en-AU"/>
        </w:rPr>
        <w:t xml:space="preserve">: Illustration of conductive hydrogel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biointerface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. </w:t>
      </w:r>
    </w:p>
    <w:p w14:paraId="464BF6D7" w14:textId="77777777" w:rsidR="00E20AD1" w:rsidRDefault="00E20AD1" w:rsidP="00E20AD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bookmarkStart w:id="0" w:name="_GoBack"/>
      <w:bookmarkEnd w:id="0"/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C260235" w14:textId="77777777" w:rsidR="00E20AD1" w:rsidRPr="00B32731" w:rsidRDefault="00E20AD1" w:rsidP="00E20AD1">
      <w:pPr>
        <w:pStyle w:val="EndNoteBibliography"/>
        <w:rPr>
          <w:rFonts w:asciiTheme="minorHAnsi" w:hAnsiTheme="minorHAnsi" w:cstheme="minorHAnsi"/>
          <w:sz w:val="22"/>
          <w:szCs w:val="22"/>
        </w:rPr>
      </w:pPr>
      <w:r w:rsidRPr="00B32731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B32731">
        <w:rPr>
          <w:rFonts w:asciiTheme="minorHAnsi" w:hAnsiTheme="minorHAnsi" w:cstheme="minorHAnsi"/>
          <w:b/>
          <w:sz w:val="22"/>
          <w:szCs w:val="22"/>
        </w:rPr>
        <w:instrText xml:space="preserve"> ADDIN EN.REFLIST </w:instrText>
      </w:r>
      <w:r w:rsidRPr="00B3273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32731">
        <w:rPr>
          <w:rFonts w:asciiTheme="minorHAnsi" w:hAnsiTheme="minorHAnsi" w:cstheme="minorHAnsi"/>
          <w:sz w:val="22"/>
          <w:szCs w:val="22"/>
        </w:rPr>
        <w:t>1.</w:t>
      </w:r>
      <w:r w:rsidRPr="00B32731">
        <w:rPr>
          <w:rFonts w:asciiTheme="minorHAnsi" w:hAnsiTheme="minorHAnsi" w:cstheme="minorHAnsi"/>
          <w:sz w:val="22"/>
          <w:szCs w:val="22"/>
        </w:rPr>
        <w:tab/>
        <w:t xml:space="preserve">A. I. Monteiro, T. Kollmetz and J. Malmström, Biointerphases </w:t>
      </w:r>
      <w:r w:rsidRPr="00B32731">
        <w:rPr>
          <w:rFonts w:asciiTheme="minorHAnsi" w:hAnsiTheme="minorHAnsi" w:cstheme="minorHAnsi"/>
          <w:b/>
          <w:sz w:val="22"/>
          <w:szCs w:val="22"/>
        </w:rPr>
        <w:t>13</w:t>
      </w:r>
      <w:r w:rsidRPr="00B32731">
        <w:rPr>
          <w:rFonts w:asciiTheme="minorHAnsi" w:hAnsiTheme="minorHAnsi" w:cstheme="minorHAnsi"/>
          <w:sz w:val="22"/>
          <w:szCs w:val="22"/>
        </w:rPr>
        <w:t xml:space="preserve"> (6) (2018).</w:t>
      </w:r>
    </w:p>
    <w:p w14:paraId="6F3E26EA" w14:textId="737B4C2B" w:rsidR="001E34D4" w:rsidRDefault="00E20AD1" w:rsidP="001E34D4">
      <w:pPr>
        <w:spacing w:afterLines="50" w:after="120"/>
        <w:ind w:left="426" w:right="118"/>
        <w:jc w:val="both"/>
        <w:rPr>
          <w:b/>
        </w:rPr>
      </w:pPr>
      <w:r w:rsidRPr="00B32731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sectPr w:rsidR="001E34D4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2B1E"/>
    <w:multiLevelType w:val="multilevel"/>
    <w:tmpl w:val="C456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IP Style Manua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02ad5reusadwxeaffpvw2x1rx5fsfvx5zzx&quot;&gt;jennym&lt;record-ids&gt;&lt;item&gt;1643&lt;/item&gt;&lt;/record-ids&gt;&lt;/item&gt;&lt;/Libraries&gt;"/>
  </w:docVars>
  <w:rsids>
    <w:rsidRoot w:val="002226BB"/>
    <w:rsid w:val="0004118E"/>
    <w:rsid w:val="00045573"/>
    <w:rsid w:val="00092AB0"/>
    <w:rsid w:val="000A6D19"/>
    <w:rsid w:val="001A21AD"/>
    <w:rsid w:val="001E34D4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A5089"/>
    <w:rsid w:val="005E48A2"/>
    <w:rsid w:val="005F19FF"/>
    <w:rsid w:val="00640A4F"/>
    <w:rsid w:val="00641190"/>
    <w:rsid w:val="006448F3"/>
    <w:rsid w:val="006B3866"/>
    <w:rsid w:val="00711813"/>
    <w:rsid w:val="00724E3C"/>
    <w:rsid w:val="00743C46"/>
    <w:rsid w:val="0079664B"/>
    <w:rsid w:val="008909C9"/>
    <w:rsid w:val="00947B77"/>
    <w:rsid w:val="00997C34"/>
    <w:rsid w:val="009A4CFF"/>
    <w:rsid w:val="009B2641"/>
    <w:rsid w:val="009E2228"/>
    <w:rsid w:val="009F06D6"/>
    <w:rsid w:val="00A266B4"/>
    <w:rsid w:val="00B32731"/>
    <w:rsid w:val="00BC5FCC"/>
    <w:rsid w:val="00C1728E"/>
    <w:rsid w:val="00C60A71"/>
    <w:rsid w:val="00CC165A"/>
    <w:rsid w:val="00D53B8C"/>
    <w:rsid w:val="00D55F3B"/>
    <w:rsid w:val="00DA2731"/>
    <w:rsid w:val="00DB4497"/>
    <w:rsid w:val="00DC0ABB"/>
    <w:rsid w:val="00DF1C8E"/>
    <w:rsid w:val="00E20AD1"/>
    <w:rsid w:val="00EF12F3"/>
    <w:rsid w:val="00EF2238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E20AD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20AD1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20AD1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20AD1"/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jztg1hmk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3379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3700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Jenny Malmstrom</cp:lastModifiedBy>
  <cp:revision>2</cp:revision>
  <cp:lastPrinted>2013-06-13T05:15:00Z</cp:lastPrinted>
  <dcterms:created xsi:type="dcterms:W3CDTF">2019-08-27T09:23:00Z</dcterms:created>
  <dcterms:modified xsi:type="dcterms:W3CDTF">2019-08-27T09:23:00Z</dcterms:modified>
</cp:coreProperties>
</file>