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CBB5">
      <w:pPr>
        <w:jc w:val="both"/>
        <w:rPr>
          <w:rFonts w:hint="eastAsia" w:ascii="Calibri" w:hAnsi="Calibri" w:cs="Calibri"/>
          <w:b/>
          <w:sz w:val="20"/>
          <w:szCs w:val="20"/>
          <w:lang w:val="en-AU"/>
        </w:rPr>
      </w:pPr>
      <w:bookmarkStart w:id="0" w:name="_GoBack"/>
      <w:r>
        <w:rPr>
          <w:rFonts w:hint="eastAsia" w:ascii="Calibri" w:hAnsi="Calibri" w:cs="Calibri"/>
          <w:b/>
          <w:sz w:val="20"/>
          <w:szCs w:val="20"/>
          <w:lang w:val="en-AU"/>
        </w:rPr>
        <w:t>Euphorbia factor L1-induced ferroptosis through IGF2BP3-mediated energy metabolism reprogramming in intestine</w:t>
      </w:r>
    </w:p>
    <w:bookmarkEnd w:id="0"/>
    <w:p w14:paraId="5F914BE4">
      <w:pPr>
        <w:jc w:val="both"/>
        <w:rPr>
          <w:rFonts w:ascii="Calibri" w:hAnsi="Calibri" w:cs="Calibri"/>
          <w:sz w:val="20"/>
          <w:szCs w:val="20"/>
          <w:lang w:val="en-AU"/>
        </w:rPr>
      </w:pPr>
      <w:r>
        <w:rPr>
          <w:rFonts w:hint="eastAsia" w:ascii="Calibri" w:hAnsi="Calibri" w:cs="Calibri"/>
          <w:sz w:val="20"/>
          <w:szCs w:val="20"/>
          <w:lang w:val="en-AU"/>
        </w:rPr>
        <w:t>An Zhu</w:t>
      </w:r>
      <w:r>
        <w:rPr>
          <w:rFonts w:ascii="Calibri" w:hAnsi="Calibri" w:cs="Calibri"/>
          <w:sz w:val="20"/>
          <w:szCs w:val="20"/>
          <w:lang w:val="en-AU"/>
        </w:rPr>
        <w:t xml:space="preserve">. </w:t>
      </w:r>
      <w:r>
        <w:rPr>
          <w:rFonts w:hint="eastAsia" w:ascii="Calibri" w:hAnsi="Calibri" w:cs="Calibri"/>
          <w:sz w:val="20"/>
          <w:szCs w:val="20"/>
          <w:lang w:val="en-AU"/>
        </w:rPr>
        <w:t>Key Laboratory of Gastrointestinal Cancer (Fujian Medical University), Ministry of Education, Fuzhou 350108, China</w:t>
      </w:r>
    </w:p>
    <w:p w14:paraId="76DD8EC1">
      <w:pPr>
        <w:pStyle w:val="12"/>
        <w:jc w:val="both"/>
        <w:rPr>
          <w:color w:val="auto"/>
          <w:sz w:val="20"/>
          <w:szCs w:val="20"/>
          <w:lang w:val="en-AU"/>
        </w:rPr>
      </w:pPr>
      <w:r>
        <w:rPr>
          <w:i/>
          <w:color w:val="auto"/>
          <w:sz w:val="20"/>
          <w:szCs w:val="20"/>
        </w:rPr>
        <w:t xml:space="preserve"> </w:t>
      </w:r>
    </w:p>
    <w:p w14:paraId="17BBC436">
      <w:pPr>
        <w:jc w:val="both"/>
        <w:rPr>
          <w:rFonts w:hint="default" w:ascii="Calibri" w:hAnsi="Calibri" w:cs="Calibri"/>
          <w:sz w:val="20"/>
          <w:szCs w:val="20"/>
          <w:lang w:val="en-AU" w:eastAsia="zh-CN"/>
        </w:rPr>
      </w:pPr>
      <w:r>
        <w:rPr>
          <w:rFonts w:hint="eastAsia" w:ascii="Calibri" w:hAnsi="Calibri" w:cs="Calibri"/>
          <w:b/>
          <w:bCs/>
          <w:sz w:val="20"/>
          <w:szCs w:val="20"/>
          <w:lang w:val="en-AU"/>
        </w:rPr>
        <w:t>Objectives</w:t>
      </w:r>
      <w:r>
        <w:rPr>
          <w:rFonts w:ascii="Calibri" w:hAnsi="Calibri" w:cs="Calibri"/>
          <w:b/>
          <w:bCs/>
          <w:sz w:val="20"/>
          <w:szCs w:val="20"/>
          <w:lang w:val="en-AU"/>
        </w:rPr>
        <w:t>.</w:t>
      </w:r>
      <w:r>
        <w:rPr>
          <w:rFonts w:ascii="Calibri" w:hAnsi="Calibri" w:cs="Calibri"/>
          <w:sz w:val="20"/>
          <w:szCs w:val="20"/>
          <w:lang w:val="en-AU"/>
        </w:rPr>
        <w:t xml:space="preserve"> Euphorbia semen, a toxic traditional Chinese medicine documented in the Chinese Pharmacopoeia, has raised significant safety concerns due to its intestinal toxicity manifested as severe diarrhea and potential circulatory collapse at high doses. Euphorbia factor L1 (EFL1), identified as the principal toxic constituent, remains undercharacterized in terms of its</w:t>
      </w:r>
      <w:r>
        <w:rPr>
          <w:rFonts w:hint="eastAsia" w:ascii="Calibri" w:hAnsi="Calibri" w:cs="Calibri"/>
          <w:sz w:val="20"/>
          <w:szCs w:val="20"/>
          <w:lang w:val="en-AU" w:eastAsia="zh-CN"/>
        </w:rPr>
        <w:t xml:space="preserve"> intestinal</w:t>
      </w:r>
      <w:r>
        <w:rPr>
          <w:rFonts w:ascii="Calibri" w:hAnsi="Calibri" w:cs="Calibri"/>
          <w:sz w:val="20"/>
          <w:szCs w:val="20"/>
          <w:lang w:val="en-AU"/>
        </w:rPr>
        <w:t xml:space="preserve"> toxicological mechanisms.</w:t>
      </w:r>
      <w:r>
        <w:rPr>
          <w:rFonts w:hint="eastAsia" w:ascii="Calibri" w:hAnsi="Calibri" w:cs="Calibri"/>
          <w:sz w:val="20"/>
          <w:szCs w:val="20"/>
          <w:lang w:val="en-AU" w:eastAsia="zh-CN"/>
        </w:rPr>
        <w:t xml:space="preserve"> This study aims to elucidate EFL1's enterotoxic mechanisms using human intestinal cells and coelomic model organism Caenorhabditis elegans.</w:t>
      </w:r>
    </w:p>
    <w:p w14:paraId="3EABBE73">
      <w:pPr>
        <w:jc w:val="both"/>
        <w:rPr>
          <w:rFonts w:ascii="Calibri" w:hAnsi="Calibri" w:cs="Calibri"/>
          <w:sz w:val="20"/>
          <w:szCs w:val="20"/>
          <w:lang w:val="en-AU"/>
        </w:rPr>
      </w:pPr>
      <w:r>
        <w:rPr>
          <w:rFonts w:hint="eastAsia" w:ascii="Calibri" w:hAnsi="Calibri" w:cs="Calibri"/>
          <w:b/>
          <w:bCs/>
          <w:sz w:val="20"/>
          <w:szCs w:val="20"/>
          <w:lang w:val="en-AU"/>
        </w:rPr>
        <w:t>Materials and Methods</w:t>
      </w:r>
      <w:r>
        <w:rPr>
          <w:rFonts w:ascii="Calibri" w:hAnsi="Calibri" w:cs="Calibri"/>
          <w:sz w:val="20"/>
          <w:szCs w:val="20"/>
          <w:lang w:val="en-AU"/>
        </w:rPr>
        <w:t>.</w:t>
      </w:r>
      <w:r>
        <w:rPr>
          <w:rFonts w:hint="eastAsia" w:ascii="Calibri" w:hAnsi="Calibri" w:cs="Calibri"/>
          <w:sz w:val="20"/>
          <w:szCs w:val="20"/>
          <w:lang w:val="en-AU"/>
        </w:rPr>
        <w:t xml:space="preserve"> Human intestinal cells and Caenorhabditis elegans were exposed to EFL1. Potential targets were predicted using PharmMapper, and validated by m6A MeRIP-seq and proteomics. The interaction between EFL1 and the m6A recognition protein IGF2BP3 was characterized in vitro and in silico. The intestinal permeability, lipid oxidation damage, transport channel, mitochondrial structure and function, and ferroptosis were detected by molecular biology techniques and simulation predictions.</w:t>
      </w:r>
    </w:p>
    <w:p w14:paraId="2F0ECB3F">
      <w:pPr>
        <w:jc w:val="both"/>
        <w:rPr>
          <w:rFonts w:hint="eastAsia" w:ascii="Calibri" w:hAnsi="Calibri" w:cs="Calibri"/>
          <w:sz w:val="20"/>
          <w:szCs w:val="20"/>
          <w:lang w:val="en-AU"/>
        </w:rPr>
      </w:pPr>
      <w:r>
        <w:rPr>
          <w:rFonts w:hint="eastAsia" w:ascii="Calibri" w:hAnsi="Calibri" w:cs="Calibri"/>
          <w:b/>
          <w:bCs/>
          <w:sz w:val="20"/>
          <w:szCs w:val="20"/>
          <w:lang w:val="en-AU"/>
        </w:rPr>
        <w:t>Results</w:t>
      </w:r>
      <w:r>
        <w:rPr>
          <w:rFonts w:ascii="Calibri" w:hAnsi="Calibri" w:cs="Calibri"/>
          <w:sz w:val="20"/>
          <w:szCs w:val="20"/>
          <w:lang w:val="en-AU"/>
        </w:rPr>
        <w:t>.</w:t>
      </w:r>
      <w:r>
        <w:rPr>
          <w:rFonts w:hint="eastAsia" w:ascii="Calibri" w:hAnsi="Calibri" w:cs="Calibri"/>
          <w:sz w:val="20"/>
          <w:szCs w:val="20"/>
          <w:lang w:val="en-AU"/>
        </w:rPr>
        <w:t xml:space="preserve"> EFL1 directly bound to and downregulated IGF2BP3, reducing global mRNA m6A modification levels. This epigenetic change accelerated the degradation of mRNAs in the AMPK/SIRT1/PGC-1α pathway, crucial for energy metabolism. Consequently, ATP depletion occurred, disrupting water and ion transport homeostasis. Intracellular Ca²⁺ overload ensued, triggering an oxidation-antioxidation imbalance, lipid peroxidation, and mitochondrial structural/functional damage. Concurrent Fe²⁺ accumulation inhibited the GPX4/FTH1/ACSL4 axis of the ferroptosis pathway. Ultimately, EFL1 compromised intestinal barrier integrity by disrupting intercellular tight junctions and the F-actin cytoskeleton.</w:t>
      </w:r>
    </w:p>
    <w:p w14:paraId="7EC7822A">
      <w:pPr>
        <w:jc w:val="both"/>
        <w:rPr>
          <w:rFonts w:hint="eastAsia" w:ascii="Calibri" w:hAnsi="Calibri" w:cs="Calibri"/>
          <w:sz w:val="20"/>
          <w:szCs w:val="20"/>
          <w:lang w:val="en-AU"/>
        </w:rPr>
      </w:pPr>
      <w:r>
        <w:rPr>
          <w:rFonts w:hint="eastAsia" w:ascii="Calibri" w:hAnsi="Calibri" w:cs="Calibri"/>
          <w:b/>
          <w:bCs/>
          <w:sz w:val="20"/>
          <w:szCs w:val="20"/>
          <w:lang w:val="en-AU"/>
        </w:rPr>
        <w:t>Conclusion</w:t>
      </w:r>
      <w:r>
        <w:rPr>
          <w:rFonts w:ascii="Calibri" w:hAnsi="Calibri" w:cs="Calibri"/>
          <w:b/>
          <w:bCs/>
          <w:sz w:val="20"/>
          <w:szCs w:val="20"/>
          <w:lang w:val="en-AU"/>
        </w:rPr>
        <w:t>.</w:t>
      </w:r>
      <w:r>
        <w:rPr>
          <w:rFonts w:hint="eastAsia" w:ascii="Calibri" w:hAnsi="Calibri" w:cs="Calibri"/>
          <w:sz w:val="20"/>
          <w:szCs w:val="20"/>
          <w:lang w:val="en-AU"/>
        </w:rPr>
        <w:t xml:space="preserve"> EFL1 induced intestinal toxicity by directly targeting IGF2BP3. This interaction destabilized AMPK/SIRT1/PGC-1α pathway mRNAs via reduced m6A modification, and induced metabolic reprogramming, ferroptosis, and loss of barrier integrity in intestinal cells and Caenorhabditis elegans.</w:t>
      </w:r>
    </w:p>
    <w:p w14:paraId="446A500D">
      <w:pPr>
        <w:jc w:val="both"/>
        <w:rPr>
          <w:rFonts w:ascii="Calibri" w:hAnsi="Calibri" w:cs="Calibri"/>
          <w:sz w:val="20"/>
          <w:szCs w:val="20"/>
          <w:lang w:val="en-AU"/>
        </w:rPr>
      </w:pPr>
      <w:r>
        <w:rPr>
          <w:rFonts w:hint="eastAsia" w:ascii="Calibri" w:hAnsi="Calibri" w:cs="Calibri"/>
          <w:b/>
          <w:bCs/>
          <w:sz w:val="20"/>
          <w:szCs w:val="20"/>
          <w:lang w:val="en-AU"/>
        </w:rPr>
        <w:t>Keywords</w:t>
      </w:r>
      <w:r>
        <w:rPr>
          <w:rFonts w:ascii="Calibri" w:hAnsi="Calibri" w:cs="Calibri"/>
          <w:b/>
          <w:bCs/>
          <w:sz w:val="20"/>
          <w:szCs w:val="20"/>
          <w:lang w:val="en-AU"/>
        </w:rPr>
        <w:t>.</w:t>
      </w:r>
      <w:r>
        <w:rPr>
          <w:rFonts w:hint="eastAsia" w:ascii="Calibri" w:hAnsi="Calibri" w:cs="Calibri"/>
          <w:sz w:val="20"/>
          <w:szCs w:val="20"/>
          <w:lang w:val="en-AU"/>
        </w:rPr>
        <w:t xml:space="preserve"> Euphobiasteroid; Intestinal toxicity; Energy metabolism reprogramming; Ferroptosis; Permeability.</w:t>
      </w:r>
    </w:p>
    <w:p w14:paraId="1D31EDB9">
      <w:pPr>
        <w:jc w:val="both"/>
        <w:rPr>
          <w:rFonts w:ascii="Calibri" w:hAnsi="Calibri" w:cs="Calibri"/>
          <w:sz w:val="20"/>
          <w:szCs w:val="20"/>
          <w:lang w:val="en-AU"/>
        </w:rPr>
      </w:pPr>
    </w:p>
    <w:sectPr>
      <w:pgSz w:w="11906" w:h="8391" w:orient="landscape"/>
      <w:pgMar w:top="851" w:right="1134" w:bottom="851" w:left="11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A00002FF" w:usb1="28CFFCFA" w:usb2="00000016" w:usb3="00000000" w:csb0="00100001" w:csb1="00000000"/>
  </w:font>
  <w:font w:name="Times">
    <w:altName w:val="Times New Roman"/>
    <w:panose1 w:val="02020603050405020304"/>
    <w:charset w:val="00"/>
    <w:family w:val="roman"/>
    <w:pitch w:val="default"/>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rawingGridHorizontalSpacing w:val="57"/>
  <w:displayHorizontalDrawingGridEvery w:val="0"/>
  <w:displayVerticalDrawingGridEvery w:val="2"/>
  <w:noPunctuationKerning w:val="1"/>
  <w:characterSpacingControl w:val="doNotCompress"/>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BB"/>
    <w:rsid w:val="000A4FA6"/>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5F3B"/>
    <w:rsid w:val="00DA2731"/>
    <w:rsid w:val="00EF12F3"/>
    <w:rsid w:val="00F02477"/>
    <w:rsid w:val="00F90F73"/>
    <w:rsid w:val="00F97620"/>
    <w:rsid w:val="04B13F78"/>
    <w:rsid w:val="16655BAE"/>
    <w:rsid w:val="198665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qFormat/>
    <w:uiPriority w:val="0"/>
    <w:pPr>
      <w:keepNext/>
      <w:spacing w:before="240" w:after="60"/>
      <w:outlineLvl w:val="0"/>
    </w:pPr>
    <w:rPr>
      <w:b/>
      <w:kern w:val="28"/>
      <w:sz w:val="28"/>
      <w:szCs w:val="20"/>
    </w:rPr>
  </w:style>
  <w:style w:type="paragraph" w:styleId="3">
    <w:name w:val="heading 3"/>
    <w:basedOn w:val="1"/>
    <w:next w:val="1"/>
    <w:qFormat/>
    <w:uiPriority w:val="0"/>
    <w:pPr>
      <w:keepNext/>
      <w:spacing w:before="120" w:after="60"/>
      <w:jc w:val="center"/>
      <w:outlineLvl w:val="2"/>
    </w:pPr>
    <w:rPr>
      <w:b/>
      <w:caps/>
      <w:szCs w:val="20"/>
    </w:rPr>
  </w:style>
  <w:style w:type="paragraph" w:styleId="4">
    <w:name w:val="heading 5"/>
    <w:basedOn w:val="1"/>
    <w:next w:val="1"/>
    <w:link w:val="11"/>
    <w:qFormat/>
    <w:uiPriority w:val="9"/>
    <w:pPr>
      <w:spacing w:before="240" w:after="60"/>
      <w:outlineLvl w:val="4"/>
    </w:pPr>
    <w:rPr>
      <w:rFonts w:ascii="Calibri" w:hAnsi="Calibri" w:eastAsia="PMingLiU" w:cs="Times New Roman"/>
      <w:b/>
      <w:bCs/>
      <w:i/>
      <w:iCs/>
      <w:sz w:val="26"/>
      <w:szCs w:val="26"/>
    </w:rPr>
  </w:style>
  <w:style w:type="character" w:default="1" w:styleId="8">
    <w:name w:val="Default Paragraph Font"/>
    <w:semiHidden/>
    <w:uiPriority w:val="0"/>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5">
    <w:name w:val="Balloon Text"/>
    <w:basedOn w:val="1"/>
    <w:link w:val="13"/>
    <w:semiHidden/>
    <w:unhideWhenUsed/>
    <w:uiPriority w:val="99"/>
    <w:rPr>
      <w:rFonts w:ascii="Tahoma" w:hAnsi="Tahoma" w:cs="Tahoma"/>
      <w:sz w:val="16"/>
      <w:szCs w:val="16"/>
    </w:rPr>
  </w:style>
  <w:style w:type="paragraph" w:styleId="6">
    <w:name w:val="Body Text Indent 3"/>
    <w:basedOn w:val="1"/>
    <w:semiHidden/>
    <w:uiPriority w:val="0"/>
    <w:pPr>
      <w:spacing w:before="120" w:after="120"/>
      <w:ind w:left="-90"/>
      <w:jc w:val="center"/>
    </w:pPr>
    <w:rPr>
      <w:rFonts w:ascii="Times" w:hAnsi="Times"/>
      <w:szCs w:val="20"/>
    </w:rPr>
  </w:style>
  <w:style w:type="character" w:styleId="9">
    <w:name w:val="Strong"/>
    <w:qFormat/>
    <w:uiPriority w:val="22"/>
    <w:rPr>
      <w:b/>
      <w:bCs/>
    </w:rPr>
  </w:style>
  <w:style w:type="character" w:styleId="10">
    <w:name w:val="Hyperlink"/>
    <w:unhideWhenUsed/>
    <w:uiPriority w:val="99"/>
    <w:rPr>
      <w:color w:val="0563C1"/>
      <w:u w:val="single"/>
    </w:rPr>
  </w:style>
  <w:style w:type="character" w:customStyle="1" w:styleId="11">
    <w:name w:val="Heading 5 Char"/>
    <w:link w:val="4"/>
    <w:semiHidden/>
    <w:uiPriority w:val="9"/>
    <w:rPr>
      <w:rFonts w:ascii="Calibri" w:hAnsi="Calibri" w:eastAsia="PMingLiU" w:cs="Times New Roman"/>
      <w:b/>
      <w:bCs/>
      <w:i/>
      <w:iCs/>
      <w:sz w:val="26"/>
      <w:szCs w:val="26"/>
      <w:lang w:eastAsia="en-US"/>
    </w:rPr>
  </w:style>
  <w:style w:type="paragraph" w:customStyle="1" w:styleId="12">
    <w:name w:val="Default"/>
    <w:uiPriority w:val="0"/>
    <w:pPr>
      <w:widowControl w:val="0"/>
      <w:autoSpaceDE w:val="0"/>
      <w:autoSpaceDN w:val="0"/>
      <w:adjustRightInd w:val="0"/>
    </w:pPr>
    <w:rPr>
      <w:rFonts w:ascii="Calibri" w:hAnsi="Calibri" w:eastAsia="Calibri" w:cs="Calibri"/>
      <w:color w:val="000000"/>
      <w:sz w:val="24"/>
      <w:szCs w:val="24"/>
      <w:lang w:val="en-US" w:eastAsia="en-US" w:bidi="ar-SA"/>
    </w:rPr>
  </w:style>
  <w:style w:type="character" w:customStyle="1" w:styleId="13">
    <w:name w:val="Balloon Text Char"/>
    <w:link w:val="5"/>
    <w:semiHidden/>
    <w:uiPriority w:val="99"/>
    <w:rPr>
      <w:rFonts w:ascii="Tahoma" w:hAnsi="Tahoma" w:cs="Tahoma"/>
      <w:sz w:val="16"/>
      <w:szCs w:val="16"/>
      <w:lang w:val="en-US" w:eastAsia="en-US"/>
    </w:rPr>
  </w:style>
  <w:style w:type="character" w:styleId="14">
    <w:name w:val=""/>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clems</Company>
  <Pages>1</Pages>
  <Words>267</Words>
  <Characters>1413</Characters>
  <Lines>12</Lines>
  <Paragraphs>3</Paragraphs>
  <TotalTime>2</TotalTime>
  <ScaleCrop>false</ScaleCrop>
  <LinksUpToDate>false</LinksUpToDate>
  <CharactersWithSpaces>1673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2025-01-04T00:52:00Z</dcterms:created>
  <dc:creator>gillard</dc:creator>
  <cp:lastModifiedBy>加菲不是猫</cp:lastModifiedBy>
  <cp:lastPrinted>2013-06-13T05:15:00Z</cp:lastPrinted>
  <dcterms:modified xsi:type="dcterms:W3CDTF">2026-02-14T13:05:03Z</dcterms:modified>
  <dc:title>Submission Format for ConnectED 2007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KSOTemplateDocerSaveRecord">
    <vt:lpwstr>eyJoZGlkIjoiNGU5YTk2NWU3OTRhNTU0YjZlNWE0ODExMjY4YzM0MTgiLCJ1c2VySWQiOiIzODY5MzA2ODkifQ==</vt:lpwstr>
  </property>
  <property fmtid="{D5CDD505-2E9C-101B-9397-08002B2CF9AE}" pid="5" name="KSOProductBuildVer">
    <vt:lpwstr>2052-12.1.0.24657</vt:lpwstr>
  </property>
  <property fmtid="{D5CDD505-2E9C-101B-9397-08002B2CF9AE}" pid="6" name="ICV">
    <vt:lpwstr>B72B7E944E9648349562F1D8849AB959_13</vt:lpwstr>
  </property>
</Properties>
</file>