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7678212F" w:rsidR="00C315D2" w:rsidRPr="00C315D2" w:rsidRDefault="0041271A" w:rsidP="5E2C5F31">
      <w:pPr>
        <w:spacing w:after="0" w:line="240" w:lineRule="auto"/>
        <w:rPr>
          <w:rFonts w:ascii="Arial" w:eastAsia="Calibri" w:hAnsi="Arial" w:cs="Calibri"/>
          <w:b/>
          <w:bCs/>
          <w:kern w:val="0"/>
          <w:lang w:val="en-US"/>
          <w14:ligatures w14:val="none"/>
        </w:rPr>
      </w:pPr>
      <w:r w:rsidRPr="0041271A">
        <w:rPr>
          <w:rFonts w:ascii="Arial" w:eastAsia="Calibri" w:hAnsi="Arial" w:cs="Calibri"/>
          <w:b/>
          <w:bCs/>
          <w:kern w:val="0"/>
          <w:lang w:val="en-US"/>
          <w14:ligatures w14:val="none"/>
        </w:rPr>
        <w:t>Monocarboxylate Transporter 7 Contributes to Anticancer Drug Resistance in Breast Cancer Cells</w:t>
      </w:r>
    </w:p>
    <w:p w14:paraId="0FC0B0A4" w14:textId="77777777" w:rsidR="0041271A" w:rsidRPr="0041271A" w:rsidRDefault="0041271A" w:rsidP="0041271A">
      <w:pPr>
        <w:spacing w:after="0" w:line="240" w:lineRule="auto"/>
        <w:rPr>
          <w:rFonts w:ascii="Arial" w:eastAsia="Calibri" w:hAnsi="Arial" w:cs="Calibri"/>
          <w:bCs/>
          <w:kern w:val="0"/>
          <w:sz w:val="20"/>
          <w:szCs w:val="20"/>
          <w14:ligatures w14:val="none"/>
        </w:rPr>
      </w:pPr>
      <w:r w:rsidRPr="0041271A">
        <w:rPr>
          <w:rFonts w:ascii="Arial" w:eastAsia="Calibri" w:hAnsi="Arial" w:cs="Calibri"/>
          <w:b/>
          <w:kern w:val="0"/>
          <w:sz w:val="20"/>
          <w:szCs w:val="20"/>
          <w:u w:val="single"/>
          <w14:ligatures w14:val="none"/>
        </w:rPr>
        <w:t>Misato Kunieda</w:t>
      </w:r>
      <w:r w:rsidRPr="0041271A">
        <w:rPr>
          <w:rFonts w:ascii="Arial" w:eastAsia="Calibri" w:hAnsi="Arial" w:cs="Calibri"/>
          <w:b/>
          <w:kern w:val="0"/>
          <w:sz w:val="20"/>
          <w:szCs w:val="20"/>
          <w:u w:val="single"/>
          <w:vertAlign w:val="superscript"/>
          <w14:ligatures w14:val="none"/>
        </w:rPr>
        <w:t>1</w:t>
      </w:r>
      <w:r w:rsidRPr="0041271A">
        <w:rPr>
          <w:rFonts w:ascii="Arial" w:eastAsia="Calibri" w:hAnsi="Arial" w:cs="Calibri"/>
          <w:bCs/>
          <w:kern w:val="0"/>
          <w:sz w:val="20"/>
          <w:szCs w:val="20"/>
          <w14:ligatures w14:val="none"/>
        </w:rPr>
        <w:t>, Kei Higuchi</w:t>
      </w:r>
      <w:r w:rsidRPr="0041271A">
        <w:rPr>
          <w:rFonts w:ascii="Arial" w:eastAsia="Calibri" w:hAnsi="Arial" w:cs="Calibri"/>
          <w:bCs/>
          <w:kern w:val="0"/>
          <w:sz w:val="20"/>
          <w:szCs w:val="20"/>
          <w:vertAlign w:val="superscript"/>
          <w14:ligatures w14:val="none"/>
        </w:rPr>
        <w:t>2</w:t>
      </w:r>
      <w:r w:rsidRPr="0041271A">
        <w:rPr>
          <w:rFonts w:ascii="Arial" w:eastAsia="Calibri" w:hAnsi="Arial" w:cs="Calibri"/>
          <w:bCs/>
          <w:kern w:val="0"/>
          <w:sz w:val="20"/>
          <w:szCs w:val="20"/>
          <w14:ligatures w14:val="none"/>
        </w:rPr>
        <w:t>, Himari Minato</w:t>
      </w:r>
      <w:r w:rsidRPr="0041271A">
        <w:rPr>
          <w:rFonts w:ascii="Arial" w:eastAsia="Calibri" w:hAnsi="Arial" w:cs="Calibri"/>
          <w:bCs/>
          <w:kern w:val="0"/>
          <w:sz w:val="20"/>
          <w:szCs w:val="20"/>
          <w:vertAlign w:val="superscript"/>
          <w14:ligatures w14:val="none"/>
        </w:rPr>
        <w:t>1</w:t>
      </w:r>
      <w:r w:rsidRPr="0041271A">
        <w:rPr>
          <w:rFonts w:ascii="Arial" w:eastAsia="Calibri" w:hAnsi="Arial" w:cs="Calibri"/>
          <w:bCs/>
          <w:kern w:val="0"/>
          <w:sz w:val="20"/>
          <w:szCs w:val="20"/>
          <w14:ligatures w14:val="none"/>
        </w:rPr>
        <w:t>, Yuito Otsuka</w:t>
      </w:r>
      <w:r w:rsidRPr="0041271A">
        <w:rPr>
          <w:rFonts w:ascii="Arial" w:eastAsia="Calibri" w:hAnsi="Arial" w:cs="Calibri"/>
          <w:bCs/>
          <w:kern w:val="0"/>
          <w:sz w:val="20"/>
          <w:szCs w:val="20"/>
          <w:vertAlign w:val="superscript"/>
          <w14:ligatures w14:val="none"/>
        </w:rPr>
        <w:t>1</w:t>
      </w:r>
      <w:r w:rsidRPr="0041271A">
        <w:rPr>
          <w:rFonts w:ascii="Arial" w:eastAsia="Calibri" w:hAnsi="Arial" w:cs="Calibri"/>
          <w:bCs/>
          <w:kern w:val="0"/>
          <w:sz w:val="20"/>
          <w:szCs w:val="20"/>
          <w14:ligatures w14:val="none"/>
        </w:rPr>
        <w:t>, Hisanao Kishimoto</w:t>
      </w:r>
      <w:r w:rsidRPr="0041271A">
        <w:rPr>
          <w:rFonts w:ascii="Arial" w:eastAsia="Calibri" w:hAnsi="Arial" w:cs="Calibri"/>
          <w:bCs/>
          <w:kern w:val="0"/>
          <w:sz w:val="20"/>
          <w:szCs w:val="20"/>
          <w:vertAlign w:val="superscript"/>
          <w14:ligatures w14:val="none"/>
        </w:rPr>
        <w:t>1</w:t>
      </w:r>
      <w:r w:rsidRPr="0041271A">
        <w:rPr>
          <w:rFonts w:ascii="Arial" w:eastAsia="Calibri" w:hAnsi="Arial" w:cs="Calibri"/>
          <w:bCs/>
          <w:kern w:val="0"/>
          <w:sz w:val="20"/>
          <w:szCs w:val="20"/>
          <w14:ligatures w14:val="none"/>
        </w:rPr>
        <w:t>, Katsuhisa Inoue</w:t>
      </w:r>
      <w:r w:rsidRPr="0041271A">
        <w:rPr>
          <w:rFonts w:ascii="Arial" w:eastAsia="Calibri" w:hAnsi="Arial" w:cs="Calibri"/>
          <w:bCs/>
          <w:kern w:val="0"/>
          <w:sz w:val="20"/>
          <w:szCs w:val="20"/>
          <w:vertAlign w:val="superscript"/>
          <w14:ligatures w14:val="none"/>
        </w:rPr>
        <w:t>1</w:t>
      </w:r>
      <w:r w:rsidRPr="0041271A">
        <w:rPr>
          <w:rFonts w:ascii="Arial" w:eastAsia="Calibri" w:hAnsi="Arial" w:cs="Calibri"/>
          <w:bCs/>
          <w:kern w:val="0"/>
          <w:sz w:val="20"/>
          <w:szCs w:val="20"/>
          <w14:ligatures w14:val="none"/>
        </w:rPr>
        <w:t xml:space="preserve">. </w:t>
      </w:r>
    </w:p>
    <w:p w14:paraId="6E454690" w14:textId="77777777" w:rsidR="0041271A" w:rsidRPr="0041271A" w:rsidRDefault="0041271A" w:rsidP="0041271A">
      <w:pPr>
        <w:spacing w:after="0" w:line="240" w:lineRule="auto"/>
        <w:rPr>
          <w:rFonts w:ascii="Arial" w:eastAsia="Calibri" w:hAnsi="Arial" w:cs="Calibri"/>
          <w:bCs/>
          <w:kern w:val="0"/>
          <w:sz w:val="20"/>
          <w:szCs w:val="20"/>
          <w14:ligatures w14:val="none"/>
        </w:rPr>
      </w:pPr>
      <w:r w:rsidRPr="0041271A">
        <w:rPr>
          <w:rFonts w:ascii="Arial" w:eastAsia="Calibri" w:hAnsi="Arial" w:cs="Calibri"/>
          <w:bCs/>
          <w:kern w:val="0"/>
          <w:sz w:val="20"/>
          <w:szCs w:val="20"/>
          <w14:ligatures w14:val="none"/>
        </w:rPr>
        <w:t>Department of Biopharmaceutics, Tokyo University of Pharmacy and Life Sciences</w:t>
      </w:r>
      <w:r w:rsidRPr="00510D03">
        <w:rPr>
          <w:rFonts w:ascii="Arial" w:eastAsia="Calibri" w:hAnsi="Arial" w:cs="Calibri"/>
          <w:bCs/>
          <w:kern w:val="0"/>
          <w:sz w:val="20"/>
          <w:szCs w:val="20"/>
          <w:vertAlign w:val="superscript"/>
          <w14:ligatures w14:val="none"/>
        </w:rPr>
        <w:t>1</w:t>
      </w:r>
      <w:r w:rsidRPr="0041271A">
        <w:rPr>
          <w:rFonts w:ascii="Arial" w:eastAsia="Calibri" w:hAnsi="Arial" w:cs="Calibri"/>
          <w:bCs/>
          <w:kern w:val="0"/>
          <w:sz w:val="20"/>
          <w:szCs w:val="20"/>
          <w14:ligatures w14:val="none"/>
        </w:rPr>
        <w:t>, Tokyo, Japan;</w:t>
      </w:r>
    </w:p>
    <w:p w14:paraId="43CBF8CB" w14:textId="64957948" w:rsidR="0041271A" w:rsidRPr="0041271A" w:rsidRDefault="0041271A" w:rsidP="0041271A">
      <w:pPr>
        <w:spacing w:after="0" w:line="240" w:lineRule="auto"/>
        <w:rPr>
          <w:rFonts w:ascii="Arial" w:hAnsi="Arial" w:cs="Calibri"/>
          <w:bCs/>
          <w:kern w:val="0"/>
          <w:sz w:val="20"/>
          <w:szCs w:val="20"/>
          <w:lang w:eastAsia="ja-JP"/>
          <w14:ligatures w14:val="none"/>
        </w:rPr>
      </w:pPr>
      <w:r w:rsidRPr="0041271A">
        <w:rPr>
          <w:rFonts w:ascii="Arial" w:eastAsia="Calibri" w:hAnsi="Arial" w:cs="Calibri"/>
          <w:bCs/>
          <w:kern w:val="0"/>
          <w:sz w:val="20"/>
          <w:szCs w:val="20"/>
          <w14:ligatures w14:val="none"/>
        </w:rPr>
        <w:t xml:space="preserve">Department of </w:t>
      </w:r>
      <w:r w:rsidR="00F35D2F" w:rsidRPr="00F35D2F">
        <w:rPr>
          <w:rFonts w:ascii="Arial" w:eastAsia="Calibri" w:hAnsi="Arial" w:cs="Calibri"/>
          <w:bCs/>
          <w:kern w:val="0"/>
          <w:sz w:val="20"/>
          <w:szCs w:val="20"/>
          <w14:ligatures w14:val="none"/>
        </w:rPr>
        <w:t xml:space="preserve">Pharmacokinetics, </w:t>
      </w:r>
      <w:r w:rsidRPr="0041271A">
        <w:rPr>
          <w:rFonts w:ascii="Arial" w:eastAsia="Calibri" w:hAnsi="Arial" w:cs="Calibri"/>
          <w:bCs/>
          <w:kern w:val="0"/>
          <w:sz w:val="20"/>
          <w:szCs w:val="20"/>
          <w14:ligatures w14:val="none"/>
        </w:rPr>
        <w:t>Toho University</w:t>
      </w:r>
      <w:r w:rsidRPr="00510D03">
        <w:rPr>
          <w:rFonts w:ascii="Arial" w:eastAsia="Calibri" w:hAnsi="Arial" w:cs="Calibri"/>
          <w:bCs/>
          <w:kern w:val="0"/>
          <w:sz w:val="20"/>
          <w:szCs w:val="20"/>
          <w:vertAlign w:val="superscript"/>
          <w14:ligatures w14:val="none"/>
        </w:rPr>
        <w:t>2</w:t>
      </w:r>
      <w:r w:rsidRPr="0041271A">
        <w:rPr>
          <w:rFonts w:ascii="Arial" w:eastAsia="Calibri" w:hAnsi="Arial" w:cs="Calibri"/>
          <w:bCs/>
          <w:kern w:val="0"/>
          <w:sz w:val="20"/>
          <w:szCs w:val="20"/>
          <w14:ligatures w14:val="none"/>
        </w:rPr>
        <w:t xml:space="preserve">, Chiba, Japan. </w:t>
      </w:r>
    </w:p>
    <w:p w14:paraId="2DD37039" w14:textId="6804466E"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02C6F309"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1271A" w:rsidRPr="0041271A">
        <w:rPr>
          <w:rFonts w:ascii="Arial" w:eastAsia="Calibri" w:hAnsi="Arial" w:cs="Calibri"/>
          <w:bCs/>
          <w:kern w:val="0"/>
          <w:sz w:val="20"/>
          <w:szCs w:val="20"/>
          <w14:ligatures w14:val="none"/>
        </w:rPr>
        <w:t xml:space="preserve">Breast cancer is the most </w:t>
      </w:r>
      <w:r w:rsidR="00F35D2F" w:rsidRPr="00F35D2F">
        <w:rPr>
          <w:rFonts w:ascii="Arial" w:eastAsia="Calibri" w:hAnsi="Arial" w:cs="Calibri"/>
          <w:bCs/>
          <w:kern w:val="0"/>
          <w:sz w:val="20"/>
          <w:szCs w:val="20"/>
          <w14:ligatures w14:val="none"/>
        </w:rPr>
        <w:t xml:space="preserve">common </w:t>
      </w:r>
      <w:r w:rsidR="0041271A" w:rsidRPr="0041271A">
        <w:rPr>
          <w:rFonts w:ascii="Arial" w:eastAsia="Calibri" w:hAnsi="Arial" w:cs="Calibri"/>
          <w:bCs/>
          <w:kern w:val="0"/>
          <w:sz w:val="20"/>
          <w:szCs w:val="20"/>
          <w14:ligatures w14:val="none"/>
        </w:rPr>
        <w:t xml:space="preserve">cancer in women </w:t>
      </w:r>
      <w:r w:rsidR="00F35D2F" w:rsidRPr="00F35D2F">
        <w:rPr>
          <w:rFonts w:ascii="Arial" w:eastAsia="Calibri" w:hAnsi="Arial" w:cs="Calibri"/>
          <w:bCs/>
          <w:kern w:val="0"/>
          <w:sz w:val="20"/>
          <w:szCs w:val="20"/>
          <w14:ligatures w14:val="none"/>
        </w:rPr>
        <w:t>globally</w:t>
      </w:r>
      <w:r w:rsidR="0041271A" w:rsidRPr="0041271A">
        <w:rPr>
          <w:rFonts w:ascii="Arial" w:eastAsia="Calibri" w:hAnsi="Arial" w:cs="Calibri"/>
          <w:bCs/>
          <w:kern w:val="0"/>
          <w:sz w:val="20"/>
          <w:szCs w:val="20"/>
          <w14:ligatures w14:val="none"/>
        </w:rPr>
        <w:t>, with increasing morbidity rate</w:t>
      </w:r>
      <w:r w:rsidR="008835DE">
        <w:rPr>
          <w:rFonts w:ascii="Arial" w:hAnsi="Arial" w:cs="Calibri" w:hint="eastAsia"/>
          <w:bCs/>
          <w:kern w:val="0"/>
          <w:sz w:val="20"/>
          <w:szCs w:val="20"/>
          <w:lang w:eastAsia="ja-JP"/>
          <w14:ligatures w14:val="none"/>
        </w:rPr>
        <w:t>s</w:t>
      </w:r>
      <w:r w:rsidR="0041271A" w:rsidRPr="0041271A">
        <w:rPr>
          <w:rFonts w:ascii="Arial" w:eastAsia="Calibri" w:hAnsi="Arial" w:cs="Calibri"/>
          <w:bCs/>
          <w:kern w:val="0"/>
          <w:sz w:val="20"/>
          <w:szCs w:val="20"/>
          <w14:ligatures w14:val="none"/>
        </w:rPr>
        <w:t>. Various drugs such as anti-estrogens, molecularly targeted drugs</w:t>
      </w:r>
      <w:r w:rsidR="008835DE">
        <w:rPr>
          <w:rFonts w:ascii="Arial" w:hAnsi="Arial" w:cs="Calibri" w:hint="eastAsia"/>
          <w:bCs/>
          <w:kern w:val="0"/>
          <w:sz w:val="20"/>
          <w:szCs w:val="20"/>
          <w:lang w:eastAsia="ja-JP"/>
          <w14:ligatures w14:val="none"/>
        </w:rPr>
        <w:t>,</w:t>
      </w:r>
      <w:r w:rsidR="0041271A" w:rsidRPr="0041271A">
        <w:rPr>
          <w:rFonts w:ascii="Arial" w:eastAsia="Calibri" w:hAnsi="Arial" w:cs="Calibri"/>
          <w:bCs/>
          <w:kern w:val="0"/>
          <w:sz w:val="20"/>
          <w:szCs w:val="20"/>
          <w14:ligatures w14:val="none"/>
        </w:rPr>
        <w:t xml:space="preserve"> and cytotoxic agents are used in the treatment of breast cancer. Anticancer drug resistance, in which the effects of anticancer drugs diminish after prolonged drug treatment, has become an important clinical issue that affects the prognosis of cancer patients. Monocarboxylate transporter 7 (MCT7/SLC16A6) is a transporter expressed in normal tissues such as human brain and liver, as well as in several cancer tissues, especially breast cancer</w:t>
      </w:r>
      <w:r w:rsidR="00A91EE3" w:rsidRPr="00A91EE3">
        <w:rPr>
          <w:rFonts w:ascii="Arial" w:hAnsi="Arial" w:cs="Calibri" w:hint="eastAsia"/>
          <w:bCs/>
          <w:kern w:val="0"/>
          <w:sz w:val="20"/>
          <w:szCs w:val="20"/>
          <w:vertAlign w:val="superscript"/>
          <w:lang w:eastAsia="ja-JP"/>
          <w14:ligatures w14:val="none"/>
        </w:rPr>
        <w:t xml:space="preserve"> (1)</w:t>
      </w:r>
      <w:r w:rsidR="0041271A" w:rsidRPr="0041271A">
        <w:rPr>
          <w:rFonts w:ascii="Arial" w:eastAsia="Calibri" w:hAnsi="Arial" w:cs="Calibri"/>
          <w:bCs/>
          <w:kern w:val="0"/>
          <w:sz w:val="20"/>
          <w:szCs w:val="20"/>
          <w14:ligatures w14:val="none"/>
        </w:rPr>
        <w:t xml:space="preserve">. </w:t>
      </w:r>
      <w:r w:rsidR="008835DE" w:rsidRPr="008835DE">
        <w:rPr>
          <w:rFonts w:ascii="Arial" w:eastAsia="Calibri" w:hAnsi="Arial" w:cs="Calibri"/>
          <w:bCs/>
          <w:kern w:val="0"/>
          <w:sz w:val="20"/>
          <w:szCs w:val="20"/>
          <w14:ligatures w14:val="none"/>
        </w:rPr>
        <w:t>MCT7</w:t>
      </w:r>
      <w:r w:rsidR="0041271A" w:rsidRPr="0041271A">
        <w:rPr>
          <w:rFonts w:ascii="Arial" w:eastAsia="Calibri" w:hAnsi="Arial" w:cs="Calibri"/>
          <w:bCs/>
          <w:kern w:val="0"/>
          <w:sz w:val="20"/>
          <w:szCs w:val="20"/>
          <w14:ligatures w14:val="none"/>
        </w:rPr>
        <w:t xml:space="preserve"> has been reported to be upregulated in ovarian cancer cells resistant to some anticancer drugs</w:t>
      </w:r>
      <w:r w:rsidR="00A91EE3" w:rsidRPr="00A91EE3">
        <w:rPr>
          <w:rFonts w:ascii="Arial" w:hAnsi="Arial" w:cs="Calibri" w:hint="eastAsia"/>
          <w:bCs/>
          <w:kern w:val="0"/>
          <w:sz w:val="20"/>
          <w:szCs w:val="20"/>
          <w:vertAlign w:val="superscript"/>
          <w:lang w:eastAsia="ja-JP"/>
          <w14:ligatures w14:val="none"/>
        </w:rPr>
        <w:t xml:space="preserve"> (</w:t>
      </w:r>
      <w:r w:rsidR="00A91EE3">
        <w:rPr>
          <w:rFonts w:ascii="Arial" w:hAnsi="Arial" w:cs="Calibri" w:hint="eastAsia"/>
          <w:bCs/>
          <w:kern w:val="0"/>
          <w:sz w:val="20"/>
          <w:szCs w:val="20"/>
          <w:vertAlign w:val="superscript"/>
          <w:lang w:eastAsia="ja-JP"/>
          <w14:ligatures w14:val="none"/>
        </w:rPr>
        <w:t>2</w:t>
      </w:r>
      <w:r w:rsidR="00A91EE3" w:rsidRPr="00A91EE3">
        <w:rPr>
          <w:rFonts w:ascii="Arial" w:hAnsi="Arial" w:cs="Calibri" w:hint="eastAsia"/>
          <w:bCs/>
          <w:kern w:val="0"/>
          <w:sz w:val="20"/>
          <w:szCs w:val="20"/>
          <w:vertAlign w:val="superscript"/>
          <w:lang w:eastAsia="ja-JP"/>
          <w14:ligatures w14:val="none"/>
        </w:rPr>
        <w:t>)</w:t>
      </w:r>
      <w:r w:rsidR="0041271A" w:rsidRPr="0041271A">
        <w:rPr>
          <w:rFonts w:ascii="Arial" w:eastAsia="Calibri" w:hAnsi="Arial" w:cs="Calibri"/>
          <w:bCs/>
          <w:kern w:val="0"/>
          <w:sz w:val="20"/>
          <w:szCs w:val="20"/>
          <w14:ligatures w14:val="none"/>
        </w:rPr>
        <w:t>. However, the pathophysiological role of MCT7 and its contribution to drug resistance in breast cancer cells remains unclear. Therefore, we evaluated the contribution of MCT7 to anticancer drug resistance, and the function of MCT7 as a novel drug transporter in breast cancer cells.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6342A591"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41271A" w:rsidRPr="0041271A">
        <w:rPr>
          <w:rFonts w:ascii="Arial" w:eastAsia="Calibri" w:hAnsi="Arial" w:cs="Calibri"/>
          <w:bCs/>
          <w:kern w:val="0"/>
          <w:sz w:val="20"/>
          <w:szCs w:val="20"/>
          <w14:ligatures w14:val="none"/>
        </w:rPr>
        <w:t>MCF-7 cells with doxycycline-inducible expression of human MCT7 (MCF-7-Tet-MCT7) were established by CRISPR/Cas9 genome editing. The viability of cells exposed to anticancer drugs was assessed by CCK-8 assays. In transport experiments, the intracellular level</w:t>
      </w:r>
      <w:r w:rsidR="008835DE">
        <w:rPr>
          <w:rFonts w:ascii="Arial" w:hAnsi="Arial" w:cs="Calibri" w:hint="eastAsia"/>
          <w:bCs/>
          <w:kern w:val="0"/>
          <w:sz w:val="20"/>
          <w:szCs w:val="20"/>
          <w:lang w:eastAsia="ja-JP"/>
          <w14:ligatures w14:val="none"/>
        </w:rPr>
        <w:t>s</w:t>
      </w:r>
      <w:r w:rsidR="0041271A" w:rsidRPr="0041271A">
        <w:rPr>
          <w:rFonts w:ascii="Arial" w:eastAsia="Calibri" w:hAnsi="Arial" w:cs="Calibri"/>
          <w:bCs/>
          <w:kern w:val="0"/>
          <w:sz w:val="20"/>
          <w:szCs w:val="20"/>
          <w14:ligatures w14:val="none"/>
        </w:rPr>
        <w:t xml:space="preserve"> of anticancer drugs and endogenous amino acids were examined using HEK293T cells transiently expressing EGFP-tagged human MCT7 and MCF-7-Tet-MCT7 cells. The anticancer drugs and endogenous amino acids in cell extracts were measured by LC-MS/MS.</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4166F199" w:rsidR="00C315D2" w:rsidRPr="0041271A" w:rsidRDefault="00795378" w:rsidP="2021B9E9">
      <w:pPr>
        <w:spacing w:after="0" w:line="240" w:lineRule="auto"/>
        <w:jc w:val="both"/>
        <w:rPr>
          <w:rFonts w:ascii="Arial" w:eastAsia="Calibri" w:hAnsi="Arial" w:cs="Arial"/>
          <w:kern w:val="0"/>
          <w:sz w:val="20"/>
          <w:szCs w:val="20"/>
          <w:lang w:val="en-US"/>
          <w14:ligatures w14:val="none"/>
        </w:rPr>
      </w:pPr>
      <w:r w:rsidRPr="0041271A">
        <w:rPr>
          <w:rFonts w:ascii="Arial" w:eastAsia="Calibri" w:hAnsi="Arial" w:cs="Arial"/>
          <w:b/>
          <w:bCs/>
          <w:kern w:val="0"/>
          <w:sz w:val="20"/>
          <w:szCs w:val="20"/>
          <w14:ligatures w14:val="none"/>
        </w:rPr>
        <w:t>Results.</w:t>
      </w:r>
      <w:r w:rsidR="00C315D2" w:rsidRPr="0041271A">
        <w:rPr>
          <w:rFonts w:ascii="Arial" w:eastAsia="Calibri" w:hAnsi="Arial" w:cs="Arial"/>
          <w:kern w:val="0"/>
          <w:sz w:val="20"/>
          <w:szCs w:val="20"/>
          <w:lang w:val="en-GB"/>
          <w14:ligatures w14:val="none"/>
        </w:rPr>
        <w:t xml:space="preserve"> </w:t>
      </w:r>
      <w:r w:rsidR="0041271A" w:rsidRPr="0041271A">
        <w:rPr>
          <w:rFonts w:ascii="Arial" w:eastAsia="Calibri" w:hAnsi="Arial" w:cs="Arial"/>
          <w:kern w:val="0"/>
          <w:sz w:val="20"/>
          <w:szCs w:val="20"/>
          <w:lang w:val="en-GB"/>
          <w14:ligatures w14:val="none"/>
        </w:rPr>
        <w:t xml:space="preserve">To examine whether MCT7 expression induces chemoresistance in breast cancer cells, we evaluated the effect of MCT7 expression on the anti-proliferative effects of various anticancer drugs using MCF-7-Tet-MCT7 cells. MCT7-induced cells showed higher cell viability than that of the non-induced cells against methotrexate (MTX) and pemetrexed (PMX). To examine whether MTX and PMX are directly transported by MCT7, we performed uptake experiments using HEK293T cells expressing EGFP-tagged MCT7. These drugs were taken up into MCT7-transfected cells, whereas these were </w:t>
      </w:r>
      <w:r w:rsidR="00924763">
        <w:rPr>
          <w:rFonts w:ascii="Arial" w:hAnsi="Arial" w:cs="Arial" w:hint="eastAsia"/>
          <w:kern w:val="0"/>
          <w:sz w:val="20"/>
          <w:szCs w:val="20"/>
          <w:lang w:val="en-GB" w:eastAsia="ja-JP"/>
          <w14:ligatures w14:val="none"/>
        </w:rPr>
        <w:t>not significantly</w:t>
      </w:r>
      <w:r w:rsidR="00924763" w:rsidRPr="0041271A">
        <w:rPr>
          <w:rFonts w:ascii="Arial" w:eastAsia="Calibri" w:hAnsi="Arial" w:cs="Arial"/>
          <w:kern w:val="0"/>
          <w:sz w:val="20"/>
          <w:szCs w:val="20"/>
          <w:lang w:val="en-GB"/>
          <w14:ligatures w14:val="none"/>
        </w:rPr>
        <w:t xml:space="preserve"> </w:t>
      </w:r>
      <w:r w:rsidR="0041271A" w:rsidRPr="0041271A">
        <w:rPr>
          <w:rFonts w:ascii="Arial" w:eastAsia="Calibri" w:hAnsi="Arial" w:cs="Arial"/>
          <w:kern w:val="0"/>
          <w:sz w:val="20"/>
          <w:szCs w:val="20"/>
          <w:lang w:val="en-GB"/>
          <w14:ligatures w14:val="none"/>
        </w:rPr>
        <w:t xml:space="preserve">taken up into mock cells. We also examined the uptake of these drugs using MCF-7-Tet-MCT7 cells under the acidic conditions. The uptakes of these drugs in MCT7-induced cells were decreased compared with </w:t>
      </w:r>
      <w:r w:rsidR="00924763">
        <w:rPr>
          <w:rFonts w:ascii="Arial" w:hAnsi="Arial" w:cs="Arial" w:hint="eastAsia"/>
          <w:kern w:val="0"/>
          <w:sz w:val="20"/>
          <w:szCs w:val="20"/>
          <w:lang w:val="en-GB" w:eastAsia="ja-JP"/>
          <w14:ligatures w14:val="none"/>
        </w:rPr>
        <w:t>those</w:t>
      </w:r>
      <w:r w:rsidR="00924763" w:rsidRPr="0041271A">
        <w:rPr>
          <w:rFonts w:ascii="Arial" w:eastAsia="Calibri" w:hAnsi="Arial" w:cs="Arial"/>
          <w:kern w:val="0"/>
          <w:sz w:val="20"/>
          <w:szCs w:val="20"/>
          <w:lang w:val="en-GB"/>
          <w14:ligatures w14:val="none"/>
        </w:rPr>
        <w:t xml:space="preserve"> </w:t>
      </w:r>
      <w:r w:rsidR="0041271A" w:rsidRPr="0041271A">
        <w:rPr>
          <w:rFonts w:ascii="Arial" w:eastAsia="Calibri" w:hAnsi="Arial" w:cs="Arial"/>
          <w:kern w:val="0"/>
          <w:sz w:val="20"/>
          <w:szCs w:val="20"/>
          <w:lang w:val="en-GB"/>
          <w14:ligatures w14:val="none"/>
        </w:rPr>
        <w:t xml:space="preserve">in non-induced cells. </w:t>
      </w:r>
      <w:r w:rsidR="00C00428">
        <w:rPr>
          <w:rFonts w:ascii="Arial" w:hAnsi="Arial" w:cs="Arial" w:hint="eastAsia"/>
          <w:kern w:val="0"/>
          <w:sz w:val="20"/>
          <w:szCs w:val="20"/>
          <w:lang w:val="en-GB" w:eastAsia="ja-JP"/>
          <w14:ligatures w14:val="none"/>
        </w:rPr>
        <w:t>In addition, w</w:t>
      </w:r>
      <w:r w:rsidR="0041271A" w:rsidRPr="0041271A">
        <w:rPr>
          <w:rFonts w:ascii="Arial" w:eastAsia="Calibri" w:hAnsi="Arial" w:cs="Arial"/>
          <w:kern w:val="0"/>
          <w:sz w:val="20"/>
          <w:szCs w:val="20"/>
          <w:lang w:val="en-GB"/>
          <w14:ligatures w14:val="none"/>
        </w:rPr>
        <w:t xml:space="preserve">e examined the efflux of </w:t>
      </w:r>
      <w:r w:rsidR="007D52C0">
        <w:rPr>
          <w:rFonts w:ascii="Arial" w:hAnsi="Arial" w:cs="Arial" w:hint="eastAsia"/>
          <w:kern w:val="0"/>
          <w:sz w:val="20"/>
          <w:szCs w:val="20"/>
          <w:lang w:val="en-GB" w:eastAsia="ja-JP"/>
          <w14:ligatures w14:val="none"/>
        </w:rPr>
        <w:t xml:space="preserve">endogenous </w:t>
      </w:r>
      <w:r w:rsidR="0041271A" w:rsidRPr="0041271A">
        <w:rPr>
          <w:rFonts w:ascii="Arial" w:eastAsia="Calibri" w:hAnsi="Arial" w:cs="Arial"/>
          <w:kern w:val="0"/>
          <w:sz w:val="20"/>
          <w:szCs w:val="20"/>
          <w:lang w:val="en-GB"/>
          <w14:ligatures w14:val="none"/>
        </w:rPr>
        <w:t xml:space="preserve">L-glutamate </w:t>
      </w:r>
      <w:r w:rsidR="00924763">
        <w:rPr>
          <w:rFonts w:ascii="Arial" w:hAnsi="Arial" w:cs="Arial" w:hint="eastAsia"/>
          <w:kern w:val="0"/>
          <w:sz w:val="20"/>
          <w:szCs w:val="20"/>
          <w:lang w:val="en-GB" w:eastAsia="ja-JP"/>
          <w14:ligatures w14:val="none"/>
        </w:rPr>
        <w:t>in</w:t>
      </w:r>
      <w:r w:rsidR="00924763" w:rsidRPr="0041271A">
        <w:rPr>
          <w:rFonts w:ascii="Arial" w:eastAsia="Calibri" w:hAnsi="Arial" w:cs="Arial"/>
          <w:kern w:val="0"/>
          <w:sz w:val="20"/>
          <w:szCs w:val="20"/>
          <w:lang w:val="en-GB"/>
          <w14:ligatures w14:val="none"/>
        </w:rPr>
        <w:t xml:space="preserve"> </w:t>
      </w:r>
      <w:r w:rsidR="0041271A" w:rsidRPr="0041271A">
        <w:rPr>
          <w:rFonts w:ascii="Arial" w:eastAsia="Calibri" w:hAnsi="Arial" w:cs="Arial"/>
          <w:kern w:val="0"/>
          <w:sz w:val="20"/>
          <w:szCs w:val="20"/>
          <w:lang w:val="en-GB"/>
          <w14:ligatures w14:val="none"/>
        </w:rPr>
        <w:t>MCF-7-Tet-MCT7 cells</w:t>
      </w:r>
      <w:r w:rsidR="00C00428">
        <w:rPr>
          <w:rFonts w:ascii="Arial" w:hAnsi="Arial" w:cs="Arial" w:hint="eastAsia"/>
          <w:kern w:val="0"/>
          <w:sz w:val="20"/>
          <w:szCs w:val="20"/>
          <w:lang w:val="en-GB" w:eastAsia="ja-JP"/>
          <w14:ligatures w14:val="none"/>
        </w:rPr>
        <w:t>,</w:t>
      </w:r>
      <w:r w:rsidR="00CF1E05">
        <w:rPr>
          <w:rFonts w:ascii="Arial" w:hAnsi="Arial" w:cs="Arial" w:hint="eastAsia"/>
          <w:kern w:val="0"/>
          <w:sz w:val="20"/>
          <w:szCs w:val="20"/>
          <w:lang w:val="en-GB" w:eastAsia="ja-JP"/>
          <w14:ligatures w14:val="none"/>
        </w:rPr>
        <w:t xml:space="preserve"> because </w:t>
      </w:r>
      <w:r w:rsidR="00924763">
        <w:rPr>
          <w:rFonts w:ascii="Arial" w:hAnsi="Arial" w:cs="Arial"/>
          <w:kern w:val="0"/>
          <w:sz w:val="20"/>
          <w:szCs w:val="20"/>
          <w:lang w:val="en-GB" w:eastAsia="ja-JP"/>
          <w14:ligatures w14:val="none"/>
        </w:rPr>
        <w:t>intracellular</w:t>
      </w:r>
      <w:r w:rsidR="00924763">
        <w:rPr>
          <w:rFonts w:ascii="Arial" w:hAnsi="Arial" w:cs="Arial" w:hint="eastAsia"/>
          <w:kern w:val="0"/>
          <w:sz w:val="20"/>
          <w:szCs w:val="20"/>
          <w:lang w:val="en-GB" w:eastAsia="ja-JP"/>
          <w14:ligatures w14:val="none"/>
        </w:rPr>
        <w:t xml:space="preserve"> </w:t>
      </w:r>
      <w:r w:rsidR="00CF1E05">
        <w:rPr>
          <w:rFonts w:ascii="Arial" w:hAnsi="Arial" w:cs="Arial" w:hint="eastAsia"/>
          <w:kern w:val="0"/>
          <w:sz w:val="20"/>
          <w:szCs w:val="20"/>
          <w:lang w:val="en-GB" w:eastAsia="ja-JP"/>
          <w14:ligatures w14:val="none"/>
        </w:rPr>
        <w:t xml:space="preserve">MTX and PMX undergo </w:t>
      </w:r>
      <w:r w:rsidR="00F25A63">
        <w:rPr>
          <w:rFonts w:ascii="Arial" w:hAnsi="Arial" w:cs="Arial" w:hint="eastAsia"/>
          <w:kern w:val="0"/>
          <w:sz w:val="20"/>
          <w:szCs w:val="20"/>
          <w:lang w:val="en-GB" w:eastAsia="ja-JP"/>
          <w14:ligatures w14:val="none"/>
        </w:rPr>
        <w:t>metabolic activation</w:t>
      </w:r>
      <w:r w:rsidR="00C00428" w:rsidRPr="0041271A">
        <w:rPr>
          <w:rFonts w:ascii="Arial" w:eastAsia="Calibri" w:hAnsi="Arial" w:cs="Arial"/>
          <w:kern w:val="0"/>
          <w:sz w:val="20"/>
          <w:szCs w:val="20"/>
          <w:lang w:val="en-GB"/>
          <w14:ligatures w14:val="none"/>
        </w:rPr>
        <w:t xml:space="preserve"> by folylpolyglutamate synthetase</w:t>
      </w:r>
      <w:r w:rsidR="00924763">
        <w:rPr>
          <w:rFonts w:ascii="Arial" w:hAnsi="Arial" w:cs="Arial" w:hint="eastAsia"/>
          <w:kern w:val="0"/>
          <w:sz w:val="20"/>
          <w:szCs w:val="20"/>
          <w:lang w:val="en-GB" w:eastAsia="ja-JP"/>
          <w14:ligatures w14:val="none"/>
        </w:rPr>
        <w:t xml:space="preserve">, which </w:t>
      </w:r>
      <w:r w:rsidR="00E73AEB">
        <w:rPr>
          <w:rFonts w:ascii="Arial" w:hAnsi="Arial" w:cs="Arial"/>
          <w:kern w:val="0"/>
          <w:sz w:val="20"/>
          <w:szCs w:val="20"/>
          <w:lang w:val="en-GB" w:eastAsia="ja-JP"/>
          <w14:ligatures w14:val="none"/>
        </w:rPr>
        <w:t>catalyses</w:t>
      </w:r>
      <w:r w:rsidR="00924763">
        <w:rPr>
          <w:rFonts w:ascii="Arial" w:hAnsi="Arial" w:cs="Arial" w:hint="eastAsia"/>
          <w:kern w:val="0"/>
          <w:sz w:val="20"/>
          <w:szCs w:val="20"/>
          <w:lang w:val="en-GB" w:eastAsia="ja-JP"/>
          <w14:ligatures w14:val="none"/>
        </w:rPr>
        <w:t xml:space="preserve"> the addition of L-</w:t>
      </w:r>
      <w:r w:rsidR="00924763" w:rsidRPr="00924763">
        <w:rPr>
          <w:rFonts w:ascii="Arial" w:hAnsi="Arial" w:cs="Arial"/>
          <w:kern w:val="0"/>
          <w:sz w:val="20"/>
          <w:szCs w:val="20"/>
          <w:lang w:val="en-GB" w:eastAsia="ja-JP"/>
          <w14:ligatures w14:val="none"/>
        </w:rPr>
        <w:t>glutamate</w:t>
      </w:r>
      <w:r w:rsidR="00924763">
        <w:rPr>
          <w:rFonts w:ascii="Arial" w:hAnsi="Arial" w:cs="Arial" w:hint="eastAsia"/>
          <w:kern w:val="0"/>
          <w:sz w:val="20"/>
          <w:szCs w:val="20"/>
          <w:lang w:val="en-GB" w:eastAsia="ja-JP"/>
          <w14:ligatures w14:val="none"/>
        </w:rPr>
        <w:t xml:space="preserve">s to folate </w:t>
      </w:r>
      <w:r w:rsidR="00924763">
        <w:rPr>
          <w:rFonts w:ascii="Arial" w:hAnsi="Arial" w:cs="Arial"/>
          <w:kern w:val="0"/>
          <w:sz w:val="20"/>
          <w:szCs w:val="20"/>
          <w:lang w:val="en-GB" w:eastAsia="ja-JP"/>
          <w14:ligatures w14:val="none"/>
        </w:rPr>
        <w:t>derivatives</w:t>
      </w:r>
      <w:r w:rsidR="0041271A" w:rsidRPr="0041271A">
        <w:rPr>
          <w:rFonts w:ascii="Arial" w:eastAsia="Calibri" w:hAnsi="Arial" w:cs="Arial"/>
          <w:kern w:val="0"/>
          <w:sz w:val="20"/>
          <w:szCs w:val="20"/>
          <w:lang w:val="en-GB"/>
          <w14:ligatures w14:val="none"/>
        </w:rPr>
        <w:t>. The L-glutamate level in MCT7-induced cells was lower than that of non-induced cells.</w:t>
      </w:r>
    </w:p>
    <w:p w14:paraId="37683296" w14:textId="77777777" w:rsidR="00C315D2" w:rsidRPr="0041271A" w:rsidRDefault="00C315D2" w:rsidP="00C315D2">
      <w:pPr>
        <w:spacing w:after="0" w:line="240" w:lineRule="auto"/>
        <w:jc w:val="both"/>
        <w:rPr>
          <w:rFonts w:ascii="Arial" w:hAnsi="Arial" w:cs="Calibri"/>
          <w:b/>
          <w:kern w:val="0"/>
          <w:sz w:val="20"/>
          <w:szCs w:val="20"/>
          <w:lang w:eastAsia="ja-JP"/>
          <w14:ligatures w14:val="none"/>
        </w:rPr>
      </w:pPr>
    </w:p>
    <w:p w14:paraId="65E846CD" w14:textId="43B22882" w:rsidR="00C315D2" w:rsidRPr="006B0D26" w:rsidRDefault="00B8473A" w:rsidP="00C315D2">
      <w:pPr>
        <w:spacing w:after="0" w:line="240" w:lineRule="auto"/>
        <w:jc w:val="both"/>
        <w:rPr>
          <w:rFonts w:ascii="Arial" w:hAnsi="Arial" w:cs="Calibri"/>
          <w:bCs/>
          <w:kern w:val="0"/>
          <w:sz w:val="20"/>
          <w:szCs w:val="20"/>
          <w:lang w:val="en-US" w:eastAsia="ja-JP"/>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41271A" w:rsidRPr="0041271A">
        <w:rPr>
          <w:rFonts w:ascii="Arial" w:eastAsia="Calibri" w:hAnsi="Arial" w:cs="Calibri"/>
          <w:bCs/>
          <w:kern w:val="0"/>
          <w:sz w:val="20"/>
          <w:szCs w:val="20"/>
          <w14:ligatures w14:val="none"/>
        </w:rPr>
        <w:t>Our study revealed that MCT7 expression contributes to MTX and PMX resistance in breast cancer cells. As this mechanism, MCT7 may function as a novel efflux transporter of these drugs and/or L-glutamate in breast cancer cells.</w:t>
      </w:r>
      <w:r w:rsidR="006B0D26">
        <w:rPr>
          <w:rFonts w:ascii="Arial" w:hAnsi="Arial" w:cs="Calibri" w:hint="eastAsia"/>
          <w:bCs/>
          <w:kern w:val="0"/>
          <w:sz w:val="20"/>
          <w:szCs w:val="20"/>
          <w:lang w:eastAsia="ja-JP"/>
          <w14:ligatures w14:val="none"/>
        </w:rPr>
        <w:t xml:space="preserve"> Our </w:t>
      </w:r>
      <w:r w:rsidR="006B0D26" w:rsidRPr="006B0D26">
        <w:rPr>
          <w:rFonts w:ascii="Arial" w:hAnsi="Arial" w:cs="Calibri" w:hint="eastAsia"/>
          <w:bCs/>
          <w:i/>
          <w:iCs/>
          <w:kern w:val="0"/>
          <w:sz w:val="20"/>
          <w:szCs w:val="20"/>
          <w:lang w:eastAsia="ja-JP"/>
          <w14:ligatures w14:val="none"/>
        </w:rPr>
        <w:t>in vitro</w:t>
      </w:r>
      <w:r w:rsidR="006B0D26">
        <w:rPr>
          <w:rFonts w:ascii="Arial" w:hAnsi="Arial" w:cs="Calibri" w:hint="eastAsia"/>
          <w:bCs/>
          <w:kern w:val="0"/>
          <w:sz w:val="20"/>
          <w:szCs w:val="20"/>
          <w:lang w:eastAsia="ja-JP"/>
          <w14:ligatures w14:val="none"/>
        </w:rPr>
        <w:t xml:space="preserve"> cancer cell models are useful for evaluation of the </w:t>
      </w:r>
      <w:r w:rsidR="0043364E">
        <w:rPr>
          <w:rFonts w:ascii="Arial" w:hAnsi="Arial" w:cs="Calibri" w:hint="eastAsia"/>
          <w:bCs/>
          <w:kern w:val="0"/>
          <w:sz w:val="20"/>
          <w:szCs w:val="20"/>
          <w:lang w:eastAsia="ja-JP"/>
          <w14:ligatures w14:val="none"/>
        </w:rPr>
        <w:t xml:space="preserve">physiological and pathophysiological </w:t>
      </w:r>
      <w:r w:rsidR="006B0D26">
        <w:rPr>
          <w:rFonts w:ascii="Arial" w:hAnsi="Arial" w:cs="Calibri" w:hint="eastAsia"/>
          <w:bCs/>
          <w:kern w:val="0"/>
          <w:sz w:val="20"/>
          <w:szCs w:val="20"/>
          <w:lang w:eastAsia="ja-JP"/>
          <w14:ligatures w14:val="none"/>
        </w:rPr>
        <w:t>role of MCT7.</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6B2E016C" w14:textId="77777777" w:rsidR="00C00428" w:rsidRDefault="00C315D2" w:rsidP="00C315D2">
      <w:pPr>
        <w:spacing w:after="0" w:line="240" w:lineRule="auto"/>
        <w:jc w:val="both"/>
        <w:rPr>
          <w:rFonts w:ascii="Arial" w:hAnsi="Arial" w:cs="Calibri"/>
          <w:bCs/>
          <w:kern w:val="0"/>
          <w:sz w:val="20"/>
          <w:szCs w:val="20"/>
          <w:lang w:eastAsia="ja-JP"/>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33DAA4F8" w14:textId="77777777" w:rsidR="00C00428" w:rsidRPr="00C00428" w:rsidRDefault="00C00428" w:rsidP="00C00428">
      <w:pPr>
        <w:spacing w:after="0" w:line="240" w:lineRule="auto"/>
        <w:jc w:val="both"/>
        <w:rPr>
          <w:rFonts w:ascii="Arial" w:hAnsi="Arial" w:cs="Calibri"/>
          <w:bCs/>
          <w:kern w:val="0"/>
          <w:sz w:val="20"/>
          <w:szCs w:val="20"/>
          <w:lang w:eastAsia="ja-JP"/>
          <w14:ligatures w14:val="none"/>
        </w:rPr>
      </w:pPr>
      <w:r w:rsidRPr="00C00428">
        <w:rPr>
          <w:rFonts w:ascii="Arial" w:hAnsi="Arial" w:cs="Calibri"/>
          <w:bCs/>
          <w:kern w:val="0"/>
          <w:sz w:val="20"/>
          <w:szCs w:val="20"/>
          <w:lang w:eastAsia="ja-JP"/>
          <w14:ligatures w14:val="none"/>
        </w:rPr>
        <w:t>(1) Kothari, C. et al (2020) Sci Rep. 10:10464</w:t>
      </w:r>
    </w:p>
    <w:p w14:paraId="65F78FD7" w14:textId="77777777" w:rsidR="00C00428" w:rsidRPr="00C00428" w:rsidRDefault="00C00428" w:rsidP="00C00428">
      <w:pPr>
        <w:spacing w:after="0" w:line="240" w:lineRule="auto"/>
        <w:jc w:val="both"/>
        <w:rPr>
          <w:rFonts w:ascii="Arial" w:hAnsi="Arial" w:cs="Calibri"/>
          <w:bCs/>
          <w:kern w:val="0"/>
          <w:sz w:val="20"/>
          <w:szCs w:val="20"/>
          <w:lang w:eastAsia="ja-JP"/>
          <w14:ligatures w14:val="none"/>
        </w:rPr>
      </w:pPr>
      <w:r w:rsidRPr="00C00428">
        <w:rPr>
          <w:rFonts w:ascii="Arial" w:hAnsi="Arial" w:cs="Calibri"/>
          <w:bCs/>
          <w:kern w:val="0"/>
          <w:sz w:val="20"/>
          <w:szCs w:val="20"/>
          <w:lang w:eastAsia="ja-JP"/>
          <w14:ligatures w14:val="none"/>
        </w:rPr>
        <w:t>(2) Januchowski, R. et al (2013) Biomed Pharmacother. 67:240-245</w:t>
      </w:r>
    </w:p>
    <w:p w14:paraId="2B27F84D" w14:textId="4C81155E" w:rsidR="00A91EE3" w:rsidRPr="00C00428" w:rsidRDefault="00C00428" w:rsidP="00C00428">
      <w:pPr>
        <w:spacing w:after="0" w:line="240" w:lineRule="auto"/>
        <w:jc w:val="both"/>
        <w:rPr>
          <w:rFonts w:ascii="Arial" w:hAnsi="Arial" w:cs="Calibri"/>
          <w:bCs/>
          <w:kern w:val="0"/>
          <w:sz w:val="20"/>
          <w:szCs w:val="20"/>
          <w:lang w:eastAsia="ja-JP"/>
          <w14:ligatures w14:val="none"/>
        </w:rPr>
      </w:pPr>
      <w:r w:rsidRPr="00C00428">
        <w:rPr>
          <w:rFonts w:ascii="Arial" w:hAnsi="Arial" w:cs="Calibri"/>
          <w:bCs/>
          <w:kern w:val="0"/>
          <w:sz w:val="20"/>
          <w:szCs w:val="20"/>
          <w:lang w:eastAsia="ja-JP"/>
          <w14:ligatures w14:val="none"/>
        </w:rPr>
        <w:t>This work was supported by JST SPRING Grant Number JPMJSP2134 (MK).</w:t>
      </w:r>
    </w:p>
    <w:sectPr w:rsidR="00A91EE3" w:rsidRPr="00C004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67CD" w14:textId="77777777" w:rsidR="003E0A92" w:rsidRDefault="003E0A92" w:rsidP="00510D03">
      <w:pPr>
        <w:spacing w:after="0" w:line="240" w:lineRule="auto"/>
      </w:pPr>
      <w:r>
        <w:separator/>
      </w:r>
    </w:p>
  </w:endnote>
  <w:endnote w:type="continuationSeparator" w:id="0">
    <w:p w14:paraId="35C80EDE" w14:textId="77777777" w:rsidR="003E0A92" w:rsidRDefault="003E0A92" w:rsidP="0051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C6ED" w14:textId="77777777" w:rsidR="003E0A92" w:rsidRDefault="003E0A92" w:rsidP="00510D03">
      <w:pPr>
        <w:spacing w:after="0" w:line="240" w:lineRule="auto"/>
      </w:pPr>
      <w:r>
        <w:separator/>
      </w:r>
    </w:p>
  </w:footnote>
  <w:footnote w:type="continuationSeparator" w:id="0">
    <w:p w14:paraId="625F3A8E" w14:textId="77777777" w:rsidR="003E0A92" w:rsidRDefault="003E0A92" w:rsidP="00510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32B0F"/>
    <w:rsid w:val="00273F96"/>
    <w:rsid w:val="00284AEB"/>
    <w:rsid w:val="00294059"/>
    <w:rsid w:val="003206E4"/>
    <w:rsid w:val="003A6D5C"/>
    <w:rsid w:val="003E0A92"/>
    <w:rsid w:val="0041271A"/>
    <w:rsid w:val="0043364E"/>
    <w:rsid w:val="004A51B6"/>
    <w:rsid w:val="004F20F6"/>
    <w:rsid w:val="00510CF8"/>
    <w:rsid w:val="00510D03"/>
    <w:rsid w:val="00575A29"/>
    <w:rsid w:val="00600897"/>
    <w:rsid w:val="00601754"/>
    <w:rsid w:val="006A34BE"/>
    <w:rsid w:val="006B0D26"/>
    <w:rsid w:val="006F3F1C"/>
    <w:rsid w:val="007141F2"/>
    <w:rsid w:val="007561D8"/>
    <w:rsid w:val="00795378"/>
    <w:rsid w:val="00796206"/>
    <w:rsid w:val="007C367E"/>
    <w:rsid w:val="007D52C0"/>
    <w:rsid w:val="008071C5"/>
    <w:rsid w:val="008835DE"/>
    <w:rsid w:val="008D1391"/>
    <w:rsid w:val="00906D34"/>
    <w:rsid w:val="00924763"/>
    <w:rsid w:val="00933DC9"/>
    <w:rsid w:val="00936D4C"/>
    <w:rsid w:val="00944FA8"/>
    <w:rsid w:val="009523F9"/>
    <w:rsid w:val="009650DF"/>
    <w:rsid w:val="009B1CBB"/>
    <w:rsid w:val="00A0516D"/>
    <w:rsid w:val="00A34594"/>
    <w:rsid w:val="00A4775F"/>
    <w:rsid w:val="00A91EE3"/>
    <w:rsid w:val="00B4721D"/>
    <w:rsid w:val="00B8473A"/>
    <w:rsid w:val="00C00428"/>
    <w:rsid w:val="00C20BCC"/>
    <w:rsid w:val="00C21815"/>
    <w:rsid w:val="00C315D2"/>
    <w:rsid w:val="00C353D8"/>
    <w:rsid w:val="00CF1E05"/>
    <w:rsid w:val="00CF5A91"/>
    <w:rsid w:val="00D02BB1"/>
    <w:rsid w:val="00D45A74"/>
    <w:rsid w:val="00D7428F"/>
    <w:rsid w:val="00DB678E"/>
    <w:rsid w:val="00E73AEB"/>
    <w:rsid w:val="00EC3746"/>
    <w:rsid w:val="00F25A63"/>
    <w:rsid w:val="00F35D2F"/>
    <w:rsid w:val="00F44160"/>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aa">
    <w:name w:val="header"/>
    <w:basedOn w:val="a"/>
    <w:link w:val="ab"/>
    <w:uiPriority w:val="99"/>
    <w:unhideWhenUsed/>
    <w:rsid w:val="00510D03"/>
    <w:pPr>
      <w:tabs>
        <w:tab w:val="center" w:pos="4252"/>
        <w:tab w:val="right" w:pos="8504"/>
      </w:tabs>
      <w:snapToGrid w:val="0"/>
    </w:pPr>
  </w:style>
  <w:style w:type="character" w:customStyle="1" w:styleId="ab">
    <w:name w:val="ヘッダー (文字)"/>
    <w:basedOn w:val="a0"/>
    <w:link w:val="aa"/>
    <w:uiPriority w:val="99"/>
    <w:rsid w:val="00510D03"/>
  </w:style>
  <w:style w:type="paragraph" w:styleId="ac">
    <w:name w:val="footer"/>
    <w:basedOn w:val="a"/>
    <w:link w:val="ad"/>
    <w:uiPriority w:val="99"/>
    <w:unhideWhenUsed/>
    <w:rsid w:val="00510D03"/>
    <w:pPr>
      <w:tabs>
        <w:tab w:val="center" w:pos="4252"/>
        <w:tab w:val="right" w:pos="8504"/>
      </w:tabs>
      <w:snapToGrid w:val="0"/>
    </w:pPr>
  </w:style>
  <w:style w:type="character" w:customStyle="1" w:styleId="ad">
    <w:name w:val="フッター (文字)"/>
    <w:basedOn w:val="a0"/>
    <w:link w:val="ac"/>
    <w:uiPriority w:val="99"/>
    <w:rsid w:val="00510D03"/>
  </w:style>
  <w:style w:type="paragraph" w:styleId="ae">
    <w:name w:val="Revision"/>
    <w:hidden/>
    <w:uiPriority w:val="99"/>
    <w:semiHidden/>
    <w:rsid w:val="00F35D2F"/>
    <w:pPr>
      <w:spacing w:after="0" w:line="240" w:lineRule="auto"/>
    </w:pPr>
  </w:style>
  <w:style w:type="character" w:styleId="af">
    <w:name w:val="annotation reference"/>
    <w:basedOn w:val="a0"/>
    <w:uiPriority w:val="99"/>
    <w:semiHidden/>
    <w:unhideWhenUsed/>
    <w:rsid w:val="008835DE"/>
    <w:rPr>
      <w:sz w:val="18"/>
      <w:szCs w:val="18"/>
    </w:rPr>
  </w:style>
  <w:style w:type="paragraph" w:styleId="af0">
    <w:name w:val="annotation text"/>
    <w:basedOn w:val="a"/>
    <w:link w:val="af1"/>
    <w:uiPriority w:val="99"/>
    <w:unhideWhenUsed/>
    <w:rsid w:val="008835DE"/>
  </w:style>
  <w:style w:type="character" w:customStyle="1" w:styleId="af1">
    <w:name w:val="コメント文字列 (文字)"/>
    <w:basedOn w:val="a0"/>
    <w:link w:val="af0"/>
    <w:uiPriority w:val="99"/>
    <w:rsid w:val="008835DE"/>
  </w:style>
  <w:style w:type="paragraph" w:styleId="af2">
    <w:name w:val="annotation subject"/>
    <w:basedOn w:val="af0"/>
    <w:next w:val="af0"/>
    <w:link w:val="af3"/>
    <w:uiPriority w:val="99"/>
    <w:semiHidden/>
    <w:unhideWhenUsed/>
    <w:rsid w:val="008835DE"/>
    <w:rPr>
      <w:b/>
      <w:bCs/>
    </w:rPr>
  </w:style>
  <w:style w:type="character" w:customStyle="1" w:styleId="af3">
    <w:name w:val="コメント内容 (文字)"/>
    <w:basedOn w:val="af1"/>
    <w:link w:val="af2"/>
    <w:uiPriority w:val="99"/>
    <w:semiHidden/>
    <w:rsid w:val="00883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9970">
      <w:bodyDiv w:val="1"/>
      <w:marLeft w:val="0"/>
      <w:marRight w:val="0"/>
      <w:marTop w:val="0"/>
      <w:marBottom w:val="0"/>
      <w:divBdr>
        <w:top w:val="none" w:sz="0" w:space="0" w:color="auto"/>
        <w:left w:val="none" w:sz="0" w:space="0" w:color="auto"/>
        <w:bottom w:val="none" w:sz="0" w:space="0" w:color="auto"/>
        <w:right w:val="none" w:sz="0" w:space="0" w:color="auto"/>
      </w:divBdr>
    </w:div>
    <w:div w:id="1983341567">
      <w:bodyDiv w:val="1"/>
      <w:marLeft w:val="0"/>
      <w:marRight w:val="0"/>
      <w:marTop w:val="0"/>
      <w:marBottom w:val="0"/>
      <w:divBdr>
        <w:top w:val="none" w:sz="0" w:space="0" w:color="auto"/>
        <w:left w:val="none" w:sz="0" w:space="0" w:color="auto"/>
        <w:bottom w:val="none" w:sz="0" w:space="0" w:color="auto"/>
        <w:right w:val="none" w:sz="0" w:space="0" w:color="auto"/>
      </w:divBdr>
    </w:div>
    <w:div w:id="20949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y174054　國枝　美里</cp:lastModifiedBy>
  <cp:revision>4</cp:revision>
  <dcterms:created xsi:type="dcterms:W3CDTF">2025-05-29T03:32:00Z</dcterms:created>
  <dcterms:modified xsi:type="dcterms:W3CDTF">2025-05-29T08:05:00Z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