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5D3D" w14:textId="77777777" w:rsidR="00594F60" w:rsidRDefault="00000000">
      <w:pPr>
        <w:jc w:val="center"/>
      </w:pPr>
      <w:r>
        <w:rPr>
          <w:rFonts w:ascii="Calibri" w:hAnsi="Calibri"/>
          <w:b/>
          <w:sz w:val="20"/>
        </w:rPr>
        <w:t>Successful Rapid Oral Desensitization to Pyrazinamide in a Pediatric Patient with Disseminated Tuberculosis</w:t>
      </w:r>
    </w:p>
    <w:p w14:paraId="56F9B145" w14:textId="07173056" w:rsidR="00594F60" w:rsidRDefault="00000000">
      <w:pPr>
        <w:jc w:val="center"/>
      </w:pPr>
      <w:r>
        <w:t xml:space="preserve">Khushboo D. Bisht¹, </w:t>
      </w:r>
      <w:r w:rsidR="00BE50BC">
        <w:t>Madhura Abhishek</w:t>
      </w:r>
      <w:r w:rsidR="00BE50BC" w:rsidRPr="00BE50BC">
        <w:rPr>
          <w:vertAlign w:val="superscript"/>
        </w:rPr>
        <w:t>2</w:t>
      </w:r>
      <w:r w:rsidR="00BE50BC">
        <w:t>, Balakrishna</w:t>
      </w:r>
      <w:r w:rsidR="00BE50BC" w:rsidRPr="00BE50BC">
        <w:rPr>
          <w:vertAlign w:val="superscript"/>
        </w:rPr>
        <w:t>2</w:t>
      </w:r>
      <w:r w:rsidR="00BE50BC">
        <w:t>, Arke Priyanka</w:t>
      </w:r>
      <w:r w:rsidR="00BE50BC">
        <w:rPr>
          <w:vertAlign w:val="superscript"/>
        </w:rPr>
        <w:t>3</w:t>
      </w:r>
      <w:r w:rsidR="00BE50BC">
        <w:t xml:space="preserve">, </w:t>
      </w:r>
      <w:r>
        <w:t xml:space="preserve">¹Department of Pharmacology, </w:t>
      </w:r>
      <w:r w:rsidR="00BE50BC" w:rsidRPr="00BE50BC">
        <w:rPr>
          <w:vertAlign w:val="superscript"/>
        </w:rPr>
        <w:t>2</w:t>
      </w:r>
      <w:r w:rsidR="00BE50BC">
        <w:t>D</w:t>
      </w:r>
      <w:r w:rsidR="00BE50BC">
        <w:t>epartment of P</w:t>
      </w:r>
      <w:r w:rsidR="00BE50BC">
        <w:t xml:space="preserve">ediatrics, </w:t>
      </w:r>
      <w:r w:rsidR="00BE50BC">
        <w:rPr>
          <w:vertAlign w:val="superscript"/>
        </w:rPr>
        <w:t>3</w:t>
      </w:r>
      <w:r w:rsidR="00BE50BC">
        <w:t xml:space="preserve">Department of </w:t>
      </w:r>
      <w:r w:rsidR="00BE50BC">
        <w:t xml:space="preserve">Dermatology, </w:t>
      </w:r>
      <w:r>
        <w:t>AIIMS Nagpur, India</w:t>
      </w:r>
    </w:p>
    <w:p w14:paraId="4412822D" w14:textId="77777777" w:rsidR="00594F60" w:rsidRDefault="00000000">
      <w:pPr>
        <w:spacing w:line="240" w:lineRule="auto"/>
        <w:jc w:val="both"/>
      </w:pPr>
      <w:r>
        <w:rPr>
          <w:rFonts w:ascii="Calibri" w:hAnsi="Calibri"/>
          <w:sz w:val="20"/>
        </w:rPr>
        <w:t>Introduction. Cutaneous hypersensitivity reactions to first-line anti-tuberculosis therapy (ATT) occur in 4–15% of patients, often resulting in therapy interruption. Preserving first-line agents is crucial, particularly in pediatric patients, to ensure optimal treatment outcomes.</w:t>
      </w:r>
    </w:p>
    <w:p w14:paraId="1518D796" w14:textId="77777777" w:rsidR="00594F60" w:rsidRDefault="00000000">
      <w:pPr>
        <w:spacing w:line="240" w:lineRule="auto"/>
        <w:jc w:val="both"/>
      </w:pPr>
      <w:r>
        <w:rPr>
          <w:rFonts w:ascii="Calibri" w:hAnsi="Calibri"/>
          <w:sz w:val="20"/>
        </w:rPr>
        <w:t>Aims. To describe the successful use of a rapid oral desensitization protocol for pyrazinamide (PZA)-induced cutaneous hypersensitivity reaction in an adolescent with disseminated tuberculosis.</w:t>
      </w:r>
    </w:p>
    <w:p w14:paraId="751343CC" w14:textId="77777777" w:rsidR="00594F60" w:rsidRDefault="00000000">
      <w:pPr>
        <w:spacing w:line="240" w:lineRule="auto"/>
        <w:jc w:val="both"/>
      </w:pPr>
      <w:r>
        <w:rPr>
          <w:rFonts w:ascii="Calibri" w:hAnsi="Calibri"/>
          <w:sz w:val="20"/>
        </w:rPr>
        <w:t>Methods. A 16-year-old female with disseminated TB developed a generalized maculopapular rash with pruritus on day 16 of standard HRZE therapy. Sequential drug rechallenge identified PZA as the culprit drug. A single-day, rapid oral desensitization protocol was conducted under continuous monitoring, escalating PZA doses from 10 mg to 2000 mg over 6 hours. Emergency resuscitation medications were kept ready.</w:t>
      </w:r>
    </w:p>
    <w:p w14:paraId="7F1CCCB0" w14:textId="77777777" w:rsidR="00594F60" w:rsidRDefault="00000000">
      <w:pPr>
        <w:spacing w:line="240" w:lineRule="auto"/>
        <w:jc w:val="both"/>
      </w:pPr>
      <w:r>
        <w:rPr>
          <w:rFonts w:ascii="Calibri" w:hAnsi="Calibri"/>
          <w:sz w:val="20"/>
        </w:rPr>
        <w:t>Results. The patient tolerated the desensitization protocol without breakthrough reactions. Full therapeutic dose of PZA (1312 mg) was administered the following day without adverse events. Isoniazid and rifampicin were subsequently reintroduced without complications, allowing successful resumption of HRZE therapy. WHO-UMC causality assessment classified the reaction as “certain,” and Naranjo algorithm indicated “probable” causality (score = 5).</w:t>
      </w:r>
    </w:p>
    <w:p w14:paraId="0EE56537" w14:textId="77777777" w:rsidR="00594F60" w:rsidRDefault="00000000">
      <w:pPr>
        <w:spacing w:line="240" w:lineRule="auto"/>
        <w:jc w:val="both"/>
      </w:pPr>
      <w:r>
        <w:rPr>
          <w:rFonts w:ascii="Calibri" w:hAnsi="Calibri"/>
          <w:sz w:val="20"/>
        </w:rPr>
        <w:t>Discussion. This case highlights the feasibility, safety, and clinical utility of rapid oral PZA desensitization in pediatric patients, enabling continuation of first-line ATT and avoiding toxic, less effective second-line regimens. Rapid protocols, when performed under strict monitoring, can preserve treatment efficacy in resource-limited settings.</w:t>
      </w:r>
    </w:p>
    <w:p w14:paraId="1168AA67" w14:textId="77777777" w:rsidR="00594F60" w:rsidRDefault="00000000">
      <w:r>
        <w:rPr>
          <w:noProof/>
        </w:rPr>
        <w:lastRenderedPageBreak/>
        <w:drawing>
          <wp:inline distT="0" distB="0" distL="0" distR="0" wp14:anchorId="775DE677" wp14:editId="0AA9FDE0">
            <wp:extent cx="5067300" cy="568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ZA_Rapid_Desensitization_Flowchart.png"/>
                    <pic:cNvPicPr/>
                  </pic:nvPicPr>
                  <pic:blipFill>
                    <a:blip r:embed="rId6"/>
                    <a:stretch>
                      <a:fillRect/>
                    </a:stretch>
                  </pic:blipFill>
                  <pic:spPr>
                    <a:xfrm>
                      <a:off x="0" y="0"/>
                      <a:ext cx="5067300" cy="5689600"/>
                    </a:xfrm>
                    <a:prstGeom prst="rect">
                      <a:avLst/>
                    </a:prstGeom>
                  </pic:spPr>
                </pic:pic>
              </a:graphicData>
            </a:graphic>
          </wp:inline>
        </w:drawing>
      </w:r>
    </w:p>
    <w:sectPr w:rsidR="00594F60" w:rsidSect="00034616">
      <w:pgSz w:w="8390" w:h="1190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0545702">
    <w:abstractNumId w:val="8"/>
  </w:num>
  <w:num w:numId="2" w16cid:durableId="1557009671">
    <w:abstractNumId w:val="6"/>
  </w:num>
  <w:num w:numId="3" w16cid:durableId="1593472461">
    <w:abstractNumId w:val="5"/>
  </w:num>
  <w:num w:numId="4" w16cid:durableId="879124398">
    <w:abstractNumId w:val="4"/>
  </w:num>
  <w:num w:numId="5" w16cid:durableId="965158420">
    <w:abstractNumId w:val="7"/>
  </w:num>
  <w:num w:numId="6" w16cid:durableId="2037927158">
    <w:abstractNumId w:val="3"/>
  </w:num>
  <w:num w:numId="7" w16cid:durableId="213858408">
    <w:abstractNumId w:val="2"/>
  </w:num>
  <w:num w:numId="8" w16cid:durableId="977153097">
    <w:abstractNumId w:val="1"/>
  </w:num>
  <w:num w:numId="9" w16cid:durableId="188659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93B56"/>
    <w:rsid w:val="00594F60"/>
    <w:rsid w:val="00AA1D8D"/>
    <w:rsid w:val="00B47730"/>
    <w:rsid w:val="00BE50B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6D63E"/>
  <w14:defaultImageDpi w14:val="300"/>
  <w15:docId w15:val="{F444B308-0192-D44C-8C73-ADB534E8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TitleChar"/>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Khushboo</cp:lastModifiedBy>
  <cp:revision>2</cp:revision>
  <dcterms:created xsi:type="dcterms:W3CDTF">2025-09-15T14:41:00Z</dcterms:created>
  <dcterms:modified xsi:type="dcterms:W3CDTF">2025-09-15T14:41:00Z</dcterms:modified>
  <cp:category/>
</cp:coreProperties>
</file>