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A4A2B" w14:textId="28F610A6" w:rsidR="00B97C79" w:rsidRDefault="00000000">
      <w:r>
        <w:rPr>
          <w:b/>
        </w:rPr>
        <w:t>Clinical pharmacologist–A</w:t>
      </w:r>
      <w:r w:rsidR="00047BA3">
        <w:rPr>
          <w:b/>
        </w:rPr>
        <w:t>rtificial Intelligence</w:t>
      </w:r>
      <w:r>
        <w:rPr>
          <w:b/>
        </w:rPr>
        <w:t xml:space="preserve"> partnership for safer </w:t>
      </w:r>
      <w:proofErr w:type="spellStart"/>
      <w:r>
        <w:rPr>
          <w:b/>
        </w:rPr>
        <w:t>paediatric</w:t>
      </w:r>
      <w:proofErr w:type="spellEnd"/>
      <w:r>
        <w:rPr>
          <w:b/>
        </w:rPr>
        <w:t xml:space="preserve"> prescribing: a </w:t>
      </w:r>
      <w:proofErr w:type="spellStart"/>
      <w:r>
        <w:rPr>
          <w:b/>
        </w:rPr>
        <w:t>multicentre</w:t>
      </w:r>
      <w:proofErr w:type="spellEnd"/>
      <w:r>
        <w:rPr>
          <w:b/>
        </w:rPr>
        <w:t xml:space="preserve"> study</w:t>
      </w:r>
    </w:p>
    <w:p w14:paraId="1A8C42BE" w14:textId="5CB77576" w:rsidR="00B97C79" w:rsidRDefault="002F69CA">
      <w:r>
        <w:rPr>
          <w:noProof/>
        </w:rPr>
        <w:drawing>
          <wp:anchor distT="0" distB="0" distL="114300" distR="114300" simplePos="0" relativeHeight="251658240" behindDoc="1" locked="0" layoutInCell="1" allowOverlap="1" wp14:anchorId="691F82F4" wp14:editId="0DC19B5B">
            <wp:simplePos x="0" y="0"/>
            <wp:positionH relativeFrom="column">
              <wp:posOffset>3311394</wp:posOffset>
            </wp:positionH>
            <wp:positionV relativeFrom="paragraph">
              <wp:posOffset>221031</wp:posOffset>
            </wp:positionV>
            <wp:extent cx="2945130" cy="1957070"/>
            <wp:effectExtent l="0" t="0" r="7620" b="5080"/>
            <wp:wrapTight wrapText="bothSides">
              <wp:wrapPolygon edited="0">
                <wp:start x="0" y="0"/>
                <wp:lineTo x="0" y="21446"/>
                <wp:lineTo x="21516" y="21446"/>
                <wp:lineTo x="21516" y="0"/>
                <wp:lineTo x="0" y="0"/>
              </wp:wrapPolygon>
            </wp:wrapTight>
            <wp:docPr id="6333270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195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t>C. M. Kamaal</w:t>
      </w:r>
      <w:proofErr w:type="gramStart"/>
      <w:r w:rsidR="00000000">
        <w:rPr>
          <w:vertAlign w:val="superscript"/>
        </w:rPr>
        <w:t>1,</w:t>
      </w:r>
      <w:r w:rsidR="00000000">
        <w:t>,</w:t>
      </w:r>
      <w:proofErr w:type="gramEnd"/>
      <w:r w:rsidR="00000000">
        <w:t xml:space="preserve"> Pramod Yadav</w:t>
      </w:r>
      <w:r w:rsidR="00000000">
        <w:rPr>
          <w:vertAlign w:val="superscript"/>
        </w:rPr>
        <w:t>2</w:t>
      </w:r>
      <w:r w:rsidR="00000000">
        <w:t>, Sukanta Sen</w:t>
      </w:r>
      <w:r w:rsidR="00000000">
        <w:rPr>
          <w:vertAlign w:val="superscript"/>
        </w:rPr>
        <w:t>3</w:t>
      </w:r>
      <w:r w:rsidR="00000000">
        <w:t xml:space="preserve">, </w:t>
      </w:r>
      <w:proofErr w:type="spellStart"/>
      <w:r w:rsidR="00000000">
        <w:t>Sk</w:t>
      </w:r>
      <w:proofErr w:type="spellEnd"/>
      <w:r w:rsidR="00000000">
        <w:t xml:space="preserve"> </w:t>
      </w:r>
      <w:proofErr w:type="spellStart"/>
      <w:r w:rsidR="00000000">
        <w:t>Rafikul</w:t>
      </w:r>
      <w:proofErr w:type="spellEnd"/>
      <w:r w:rsidR="00000000">
        <w:t xml:space="preserve"> Rahaman</w:t>
      </w:r>
      <w:r w:rsidR="00000000">
        <w:rPr>
          <w:vertAlign w:val="superscript"/>
        </w:rPr>
        <w:t>4</w:t>
      </w:r>
    </w:p>
    <w:p w14:paraId="3A9EB558" w14:textId="3614F2E8" w:rsidR="00B97C79" w:rsidRDefault="00000000">
      <w:r>
        <w:t>Dept of Pharmacology</w:t>
      </w:r>
      <w:r>
        <w:rPr>
          <w:vertAlign w:val="superscript"/>
        </w:rPr>
        <w:t>1</w:t>
      </w:r>
      <w:r>
        <w:t>, SMMH Govt Medical College, Saharanpur, UP, India; Dept of Paediatrics</w:t>
      </w:r>
      <w:r>
        <w:rPr>
          <w:vertAlign w:val="superscript"/>
        </w:rPr>
        <w:t>2</w:t>
      </w:r>
      <w:r>
        <w:t>, SMMH Govt Medical College, Saharanpur, UP, India; Dept of Pharmacology</w:t>
      </w:r>
      <w:r>
        <w:rPr>
          <w:vertAlign w:val="superscript"/>
        </w:rPr>
        <w:t>3</w:t>
      </w:r>
      <w:r>
        <w:t>, ICARE IMS&amp;R, Haldia, West Bengal, India; Dept of Paediatrics</w:t>
      </w:r>
      <w:r>
        <w:rPr>
          <w:vertAlign w:val="superscript"/>
        </w:rPr>
        <w:t>4</w:t>
      </w:r>
      <w:r>
        <w:t>, ICARE IMS&amp;R, Haldia, West Bengal, India</w:t>
      </w:r>
      <w:r w:rsidR="00B63886">
        <w:t>.</w:t>
      </w:r>
    </w:p>
    <w:p w14:paraId="1CE8D6BA" w14:textId="17EC2F34" w:rsidR="00D14B46" w:rsidRDefault="00000000">
      <w:pPr>
        <w:jc w:val="both"/>
        <w:rPr>
          <w:noProof/>
        </w:rPr>
      </w:pPr>
      <w:r>
        <w:rPr>
          <w:b/>
        </w:rPr>
        <w:t xml:space="preserve">Introduction: </w:t>
      </w:r>
      <w:r>
        <w:t>Children are vulnerable to dosing errors due to weight‑based calculations, age limits, and formulation variability. We implemented a real‑time AI prescription audit to check key dosing rules and support rapid correction by clinicians.</w:t>
      </w:r>
      <w:r w:rsidR="00D14B46" w:rsidRPr="00D14B46">
        <w:rPr>
          <w:noProof/>
        </w:rPr>
        <w:t xml:space="preserve"> </w:t>
      </w:r>
    </w:p>
    <w:p w14:paraId="0A8B2309" w14:textId="77777777" w:rsidR="00B97C79" w:rsidRDefault="00000000">
      <w:pPr>
        <w:jc w:val="both"/>
      </w:pPr>
      <w:r>
        <w:rPr>
          <w:b/>
        </w:rPr>
        <w:t xml:space="preserve">Aims: </w:t>
      </w:r>
      <w:r>
        <w:t xml:space="preserve">1) Measure dosing‑error rates in </w:t>
      </w:r>
      <w:proofErr w:type="spellStart"/>
      <w:r>
        <w:t>paediatric</w:t>
      </w:r>
      <w:proofErr w:type="spellEnd"/>
      <w:r>
        <w:t xml:space="preserve"> prescriptions; 2) test whether an AI‑with‑pharmacologist audit detects and reduces these errors; 3) identify common error types and effective fixes.</w:t>
      </w:r>
    </w:p>
    <w:p w14:paraId="16CBC40C" w14:textId="3E4B028B" w:rsidR="00B97C79" w:rsidRDefault="00000000">
      <w:pPr>
        <w:jc w:val="both"/>
      </w:pPr>
      <w:r>
        <w:rPr>
          <w:b/>
        </w:rPr>
        <w:t xml:space="preserve">Methods: </w:t>
      </w:r>
      <w:r>
        <w:t>Prospective pre–post quality‑improvement study across OPD, emergency, wards</w:t>
      </w:r>
      <w:r w:rsidR="00B63886">
        <w:t xml:space="preserve"> </w:t>
      </w:r>
      <w:r>
        <w:t xml:space="preserve">at two tertiary hospitals in India. Baseline surveillance for four months was followed by four months of AI‑assisted auditing with clinical pharmacologist oversight. The AI checked weight‑based dose (mg/kg), maximum daily dose, age appropriateness, decimal/units, renal adjustment (bedside Schwartz eGFR), label‑guided hepatic adjustment, infusion rates, duplicate therapy, and key </w:t>
      </w:r>
      <w:r>
        <w:lastRenderedPageBreak/>
        <w:t>interactions. High‑risk flags were routed to a pharmacologist for same‑day review and recommendations. Primary outcome: dosing errors per 100 prescriptions (independently verified). Secondary: time to correction, acceptance of recommendations, false‑positive rate, and 30‑day drug‑related revisit.</w:t>
      </w:r>
    </w:p>
    <w:p w14:paraId="222CC78B" w14:textId="0C00DFFD" w:rsidR="00B97C79" w:rsidRDefault="00000000">
      <w:pPr>
        <w:jc w:val="both"/>
      </w:pPr>
      <w:r>
        <w:rPr>
          <w:b/>
        </w:rPr>
        <w:t xml:space="preserve">Results: </w:t>
      </w:r>
      <w:r>
        <w:t>We reviewed 486 prescriptions for 312 children. Dosing errors fell from 14.8 to 6.2 per 100 prescriptions (36/244 vs 15/242; rate ratio 0.42, 95% CI 0.23–0.77). Median time to correction improved from 18 to 10 minutes. Clinicians accepted 76% of recommendations. After rule tuning, false‑positive alerts decreased from 29% to 13%. The most frequent issues were antibiotic overdosing (aminoglycosides/cephalosporins), decimal/</w:t>
      </w:r>
      <w:proofErr w:type="gramStart"/>
      <w:r>
        <w:t>units</w:t>
      </w:r>
      <w:proofErr w:type="gramEnd"/>
      <w:r>
        <w:t xml:space="preserve"> errors in liquids, and missed renal adjustments. Thirty‑day drug‑related revisits did not increase (2.3% vs 2.1%, p=0.81).</w:t>
      </w:r>
    </w:p>
    <w:p w14:paraId="2AEFE867" w14:textId="7DC3FCBB" w:rsidR="00B97C79" w:rsidRDefault="00000000">
      <w:pPr>
        <w:jc w:val="both"/>
      </w:pPr>
      <w:r>
        <w:rPr>
          <w:b/>
        </w:rPr>
        <w:t xml:space="preserve">Discussion: </w:t>
      </w:r>
      <w:r>
        <w:t xml:space="preserve">Pairing AI speed with clinical pharmacologist judgment reduced </w:t>
      </w:r>
      <w:proofErr w:type="spellStart"/>
      <w:r>
        <w:t>paediatric</w:t>
      </w:r>
      <w:proofErr w:type="spellEnd"/>
      <w:r>
        <w:t xml:space="preserve"> dosing errors while keeping alert burden manageable. The approach is low‑cost and scalable across Indian settings</w:t>
      </w:r>
      <w:r w:rsidR="00B63886">
        <w:t xml:space="preserve">. </w:t>
      </w:r>
      <w:r>
        <w:t>Remaining gaps include fixed‑dose combinations and newly launched products, which still require expert review.</w:t>
      </w:r>
    </w:p>
    <w:p w14:paraId="50B38724" w14:textId="749B5B08" w:rsidR="00B97C79" w:rsidRDefault="00000000">
      <w:pPr>
        <w:jc w:val="both"/>
      </w:pPr>
      <w:r>
        <w:rPr>
          <w:b/>
        </w:rPr>
        <w:t xml:space="preserve">Conclusion: </w:t>
      </w:r>
      <w:r>
        <w:t xml:space="preserve">A clinical pharmacologist–AI partnership can make </w:t>
      </w:r>
      <w:proofErr w:type="spellStart"/>
      <w:r>
        <w:t>paediatric</w:t>
      </w:r>
      <w:proofErr w:type="spellEnd"/>
      <w:r>
        <w:t xml:space="preserve"> prescribing safer at scale. </w:t>
      </w:r>
    </w:p>
    <w:p w14:paraId="7092197B" w14:textId="3DB1BE85" w:rsidR="002F69CA" w:rsidRPr="002F69CA" w:rsidRDefault="002F69CA">
      <w:pPr>
        <w:jc w:val="both"/>
        <w:rPr>
          <w:sz w:val="16"/>
          <w:szCs w:val="18"/>
        </w:rPr>
      </w:pPr>
      <w:r w:rsidRPr="002F69CA">
        <w:rPr>
          <w:sz w:val="16"/>
          <w:szCs w:val="18"/>
        </w:rPr>
        <w:t xml:space="preserve">Singh H, Nim DK, Randhawa AS, Ahluwalia S. Integrating clinical pharmacology and artificial intelligence: potential benefits, challenges, and role of clinical pharmacologists. Expert Rev Clin </w:t>
      </w:r>
      <w:proofErr w:type="spellStart"/>
      <w:r w:rsidRPr="002F69CA">
        <w:rPr>
          <w:sz w:val="16"/>
          <w:szCs w:val="18"/>
        </w:rPr>
        <w:t>Pharmacol</w:t>
      </w:r>
      <w:proofErr w:type="spellEnd"/>
      <w:r w:rsidRPr="002F69CA">
        <w:rPr>
          <w:sz w:val="16"/>
          <w:szCs w:val="18"/>
        </w:rPr>
        <w:t xml:space="preserve">. 2024 Apr;17(4):381-391. </w:t>
      </w:r>
      <w:proofErr w:type="spellStart"/>
      <w:r w:rsidRPr="002F69CA">
        <w:rPr>
          <w:sz w:val="16"/>
          <w:szCs w:val="18"/>
        </w:rPr>
        <w:t>doi</w:t>
      </w:r>
      <w:proofErr w:type="spellEnd"/>
      <w:r w:rsidRPr="002F69CA">
        <w:rPr>
          <w:sz w:val="16"/>
          <w:szCs w:val="18"/>
        </w:rPr>
        <w:t xml:space="preserve">: 10.1080/17512433.2024.2317963. </w:t>
      </w:r>
      <w:proofErr w:type="spellStart"/>
      <w:r w:rsidRPr="002F69CA">
        <w:rPr>
          <w:sz w:val="16"/>
          <w:szCs w:val="18"/>
        </w:rPr>
        <w:t>Epub</w:t>
      </w:r>
      <w:proofErr w:type="spellEnd"/>
      <w:r w:rsidRPr="002F69CA">
        <w:rPr>
          <w:sz w:val="16"/>
          <w:szCs w:val="18"/>
        </w:rPr>
        <w:t xml:space="preserve"> 2024 Feb 15. PMID: 38340012.</w:t>
      </w:r>
    </w:p>
    <w:p w14:paraId="3C9447D4" w14:textId="6DB51299" w:rsidR="002F69CA" w:rsidRPr="002F69CA" w:rsidRDefault="002F69CA">
      <w:pPr>
        <w:jc w:val="both"/>
        <w:rPr>
          <w:sz w:val="16"/>
          <w:szCs w:val="18"/>
        </w:rPr>
      </w:pPr>
      <w:r w:rsidRPr="002F69CA">
        <w:rPr>
          <w:sz w:val="16"/>
          <w:szCs w:val="18"/>
        </w:rPr>
        <w:t>Foote HP, Cohen-</w:t>
      </w:r>
      <w:proofErr w:type="spellStart"/>
      <w:r w:rsidRPr="002F69CA">
        <w:rPr>
          <w:sz w:val="16"/>
          <w:szCs w:val="18"/>
        </w:rPr>
        <w:t>Wolkowiez</w:t>
      </w:r>
      <w:proofErr w:type="spellEnd"/>
      <w:r w:rsidRPr="002F69CA">
        <w:rPr>
          <w:sz w:val="16"/>
          <w:szCs w:val="18"/>
        </w:rPr>
        <w:t xml:space="preserve"> M, Lindsell CJ, Hornik CP. Applying Artificial Intelligence in Pediatric Clinical Trials: Potential Impacts and Obstacles. J Pediatr </w:t>
      </w:r>
      <w:proofErr w:type="spellStart"/>
      <w:r w:rsidRPr="002F69CA">
        <w:rPr>
          <w:sz w:val="16"/>
          <w:szCs w:val="18"/>
        </w:rPr>
        <w:t>Pharmacol</w:t>
      </w:r>
      <w:proofErr w:type="spellEnd"/>
      <w:r w:rsidRPr="002F69CA">
        <w:rPr>
          <w:sz w:val="16"/>
          <w:szCs w:val="18"/>
        </w:rPr>
        <w:t xml:space="preserve"> Ther. 2024 Jun;29(3):336-340. </w:t>
      </w:r>
      <w:proofErr w:type="spellStart"/>
      <w:r w:rsidRPr="002F69CA">
        <w:rPr>
          <w:sz w:val="16"/>
          <w:szCs w:val="18"/>
        </w:rPr>
        <w:t>doi</w:t>
      </w:r>
      <w:proofErr w:type="spellEnd"/>
      <w:r w:rsidRPr="002F69CA">
        <w:rPr>
          <w:sz w:val="16"/>
          <w:szCs w:val="18"/>
        </w:rPr>
        <w:t xml:space="preserve">: 10.5863/1551-6776-29.3.336. </w:t>
      </w:r>
      <w:proofErr w:type="spellStart"/>
      <w:r w:rsidRPr="002F69CA">
        <w:rPr>
          <w:sz w:val="16"/>
          <w:szCs w:val="18"/>
        </w:rPr>
        <w:t>Epub</w:t>
      </w:r>
      <w:proofErr w:type="spellEnd"/>
      <w:r w:rsidRPr="002F69CA">
        <w:rPr>
          <w:sz w:val="16"/>
          <w:szCs w:val="18"/>
        </w:rPr>
        <w:t xml:space="preserve"> 2024 Jun 10. PMID: 38863862; PMCID: PMC11163899.</w:t>
      </w:r>
    </w:p>
    <w:p w14:paraId="482B7C74" w14:textId="7A940003" w:rsidR="00B97C79" w:rsidRDefault="00B97C79">
      <w:pPr>
        <w:jc w:val="center"/>
      </w:pPr>
    </w:p>
    <w:sectPr w:rsidR="00B97C79" w:rsidSect="00D14B46">
      <w:pgSz w:w="11906" w:h="8391" w:orient="landscape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409482">
    <w:abstractNumId w:val="8"/>
  </w:num>
  <w:num w:numId="2" w16cid:durableId="1691250567">
    <w:abstractNumId w:val="6"/>
  </w:num>
  <w:num w:numId="3" w16cid:durableId="955451451">
    <w:abstractNumId w:val="5"/>
  </w:num>
  <w:num w:numId="4" w16cid:durableId="254746388">
    <w:abstractNumId w:val="4"/>
  </w:num>
  <w:num w:numId="5" w16cid:durableId="762259679">
    <w:abstractNumId w:val="7"/>
  </w:num>
  <w:num w:numId="6" w16cid:durableId="251936583">
    <w:abstractNumId w:val="3"/>
  </w:num>
  <w:num w:numId="7" w16cid:durableId="1471628706">
    <w:abstractNumId w:val="2"/>
  </w:num>
  <w:num w:numId="8" w16cid:durableId="2129397306">
    <w:abstractNumId w:val="1"/>
  </w:num>
  <w:num w:numId="9" w16cid:durableId="471750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BA3"/>
    <w:rsid w:val="0006063C"/>
    <w:rsid w:val="0015074B"/>
    <w:rsid w:val="0029639D"/>
    <w:rsid w:val="002A6FC0"/>
    <w:rsid w:val="002F69CA"/>
    <w:rsid w:val="00326F90"/>
    <w:rsid w:val="00AA1D8D"/>
    <w:rsid w:val="00B269E7"/>
    <w:rsid w:val="00B47730"/>
    <w:rsid w:val="00B63886"/>
    <w:rsid w:val="00B97C79"/>
    <w:rsid w:val="00CB0664"/>
    <w:rsid w:val="00D14B46"/>
    <w:rsid w:val="00FC693F"/>
    <w:rsid w:val="00FE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7DA039"/>
  <w14:defaultImageDpi w14:val="300"/>
  <w15:docId w15:val="{3D558F4C-B115-4E4B-A3C5-5AA2C4AD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 C M Kamaal</cp:lastModifiedBy>
  <cp:revision>5</cp:revision>
  <dcterms:created xsi:type="dcterms:W3CDTF">2025-09-14T19:16:00Z</dcterms:created>
  <dcterms:modified xsi:type="dcterms:W3CDTF">2025-09-14T19:39:00Z</dcterms:modified>
  <cp:category/>
</cp:coreProperties>
</file>