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CFD7" w14:textId="77777777" w:rsidR="00502BC4" w:rsidRPr="00502BC4" w:rsidRDefault="00502BC4" w:rsidP="00502BC4">
      <w:pPr>
        <w:spacing w:after="0" w:line="240" w:lineRule="auto"/>
        <w:rPr>
          <w:rFonts w:ascii="Arial" w:eastAsia="Calibri" w:hAnsi="Arial" w:cs="Calibri"/>
          <w:b/>
          <w:bCs/>
          <w:kern w:val="0"/>
          <w14:ligatures w14:val="none"/>
        </w:rPr>
      </w:pPr>
      <w:r w:rsidRPr="00502BC4">
        <w:rPr>
          <w:rFonts w:ascii="Arial" w:eastAsia="Calibri" w:hAnsi="Arial" w:cs="Calibri"/>
          <w:b/>
          <w:bCs/>
          <w:kern w:val="0"/>
          <w14:ligatures w14:val="none"/>
        </w:rPr>
        <w:t>Implementing the FDA Modernisation Act 2.0: Transforming Preclinical Drug Development Beyond Animal Models</w:t>
      </w:r>
    </w:p>
    <w:p w14:paraId="79141BD9" w14:textId="18C246FA" w:rsidR="00C315D2" w:rsidRPr="00C315D2" w:rsidRDefault="00025AA3"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Dr Andy Kuo</w:t>
      </w:r>
      <w:r w:rsidR="00C315D2" w:rsidRPr="00C315D2">
        <w:rPr>
          <w:rFonts w:ascii="Arial" w:eastAsia="Calibri" w:hAnsi="Arial" w:cs="Calibri"/>
          <w:b/>
          <w:kern w:val="0"/>
          <w:sz w:val="20"/>
          <w:szCs w:val="20"/>
          <w:u w:val="single"/>
          <w:vertAlign w:val="superscript"/>
          <w14:ligatures w14:val="none"/>
        </w:rPr>
        <w:t>1</w:t>
      </w:r>
    </w:p>
    <w:p w14:paraId="2DD37039" w14:textId="5485BB95" w:rsidR="00C315D2" w:rsidRDefault="00025AA3" w:rsidP="00C315D2">
      <w:pPr>
        <w:spacing w:after="0" w:line="240" w:lineRule="auto"/>
        <w:rPr>
          <w:rFonts w:ascii="Arial" w:eastAsia="Calibri" w:hAnsi="Arial" w:cs="Calibri"/>
          <w:bCs/>
          <w:kern w:val="0"/>
          <w:sz w:val="20"/>
          <w:szCs w:val="20"/>
          <w14:ligatures w14:val="none"/>
        </w:rPr>
      </w:pPr>
      <w:r w:rsidRPr="00025AA3">
        <w:rPr>
          <w:rFonts w:ascii="Arial" w:eastAsia="Calibri" w:hAnsi="Arial" w:cs="Calibri"/>
          <w:bCs/>
          <w:kern w:val="0"/>
          <w:sz w:val="20"/>
          <w:szCs w:val="20"/>
          <w14:ligatures w14:val="none"/>
        </w:rPr>
        <w:t>Cipdd/uq</w:t>
      </w:r>
    </w:p>
    <w:p w14:paraId="3D842936" w14:textId="77777777" w:rsidR="0040676C" w:rsidRPr="00C315D2" w:rsidRDefault="0040676C" w:rsidP="00C315D2">
      <w:pPr>
        <w:spacing w:after="0" w:line="240" w:lineRule="auto"/>
        <w:rPr>
          <w:rFonts w:ascii="Arial" w:eastAsia="Calibri" w:hAnsi="Arial" w:cs="Calibri"/>
          <w:bCs/>
          <w:kern w:val="0"/>
          <w:sz w:val="20"/>
          <w:szCs w:val="20"/>
          <w14:ligatures w14:val="none"/>
        </w:rPr>
      </w:pPr>
    </w:p>
    <w:p w14:paraId="468CA3CD" w14:textId="77777777" w:rsidR="000F2833" w:rsidRPr="000F2833" w:rsidRDefault="000F2833" w:rsidP="000F2833">
      <w:pPr>
        <w:spacing w:after="0" w:line="240" w:lineRule="auto"/>
        <w:jc w:val="both"/>
        <w:rPr>
          <w:rFonts w:ascii="Arial" w:eastAsia="Calibri" w:hAnsi="Arial" w:cs="Calibri"/>
          <w:bCs/>
          <w:kern w:val="0"/>
          <w:sz w:val="20"/>
          <w:szCs w:val="20"/>
          <w14:ligatures w14:val="none"/>
        </w:rPr>
      </w:pPr>
      <w:r w:rsidRPr="000F2833">
        <w:rPr>
          <w:rFonts w:ascii="Arial" w:eastAsia="Calibri" w:hAnsi="Arial" w:cs="Calibri"/>
          <w:bCs/>
          <w:kern w:val="0"/>
          <w:sz w:val="20"/>
          <w:szCs w:val="20"/>
          <w14:ligatures w14:val="none"/>
        </w:rPr>
        <w:t>The FDA Modernisation Act 2.0, enacted in December 2022, marks a pivotal shift in preclinical drug development by removing the legal requirement for animal data prior to initiating clinical trials. It formally authorises New Approach Methodologies (NAMs), including cell-based assays, micro-physiological systems, and in silico models as valid scientific evidence for regulatory submissions.</w:t>
      </w:r>
    </w:p>
    <w:p w14:paraId="1C74BF0D" w14:textId="77777777" w:rsidR="000F2833" w:rsidRPr="000F2833" w:rsidRDefault="000F2833" w:rsidP="000F2833">
      <w:pPr>
        <w:spacing w:after="0" w:line="240" w:lineRule="auto"/>
        <w:jc w:val="both"/>
        <w:rPr>
          <w:rFonts w:ascii="Arial" w:eastAsia="Calibri" w:hAnsi="Arial" w:cs="Calibri"/>
          <w:bCs/>
          <w:kern w:val="0"/>
          <w:sz w:val="20"/>
          <w:szCs w:val="20"/>
          <w14:ligatures w14:val="none"/>
        </w:rPr>
      </w:pPr>
    </w:p>
    <w:p w14:paraId="45D20574" w14:textId="77777777" w:rsidR="000F2833" w:rsidRPr="000F2833" w:rsidRDefault="000F2833" w:rsidP="000F2833">
      <w:pPr>
        <w:spacing w:after="0" w:line="240" w:lineRule="auto"/>
        <w:jc w:val="both"/>
        <w:rPr>
          <w:rFonts w:ascii="Arial" w:eastAsia="Calibri" w:hAnsi="Arial" w:cs="Calibri"/>
          <w:bCs/>
          <w:kern w:val="0"/>
          <w:sz w:val="20"/>
          <w:szCs w:val="20"/>
          <w14:ligatures w14:val="none"/>
        </w:rPr>
      </w:pPr>
      <w:r w:rsidRPr="000F2833">
        <w:rPr>
          <w:rFonts w:ascii="Arial" w:eastAsia="Calibri" w:hAnsi="Arial" w:cs="Calibri"/>
          <w:bCs/>
          <w:kern w:val="0"/>
          <w:sz w:val="20"/>
          <w:szCs w:val="20"/>
          <w14:ligatures w14:val="none"/>
        </w:rPr>
        <w:t>Progress has been rapid. The FDA's Innovative Science and Technology Approaches for New Drugs (ISTAND) programme, launched in 2020, began qualifying innovative tools, with the first Organ-on-Chip model accepted in September 2024. In 2025, the FDA outlined a roadmap to phase out routine animal testing over the next three to five years, prioritising the use of NAMs in Investigational New Drug (IND) applications and introducing incentives such as expedited reviews and reduced testing requirements.</w:t>
      </w:r>
    </w:p>
    <w:p w14:paraId="252801AB" w14:textId="77777777" w:rsidR="000F2833" w:rsidRPr="000F2833" w:rsidRDefault="000F2833" w:rsidP="000F2833">
      <w:pPr>
        <w:spacing w:after="0" w:line="240" w:lineRule="auto"/>
        <w:jc w:val="both"/>
        <w:rPr>
          <w:rFonts w:ascii="Arial" w:eastAsia="Calibri" w:hAnsi="Arial" w:cs="Calibri"/>
          <w:bCs/>
          <w:kern w:val="0"/>
          <w:sz w:val="20"/>
          <w:szCs w:val="20"/>
          <w14:ligatures w14:val="none"/>
        </w:rPr>
      </w:pPr>
    </w:p>
    <w:p w14:paraId="0AD4BE63" w14:textId="77777777" w:rsidR="000F2833" w:rsidRPr="000F2833" w:rsidRDefault="000F2833" w:rsidP="000F2833">
      <w:pPr>
        <w:spacing w:after="0" w:line="240" w:lineRule="auto"/>
        <w:jc w:val="both"/>
        <w:rPr>
          <w:rFonts w:ascii="Arial" w:eastAsia="Calibri" w:hAnsi="Arial" w:cs="Calibri"/>
          <w:bCs/>
          <w:kern w:val="0"/>
          <w:sz w:val="20"/>
          <w:szCs w:val="20"/>
          <w14:ligatures w14:val="none"/>
        </w:rPr>
      </w:pPr>
      <w:r w:rsidRPr="000F2833">
        <w:rPr>
          <w:rFonts w:ascii="Arial" w:eastAsia="Calibri" w:hAnsi="Arial" w:cs="Calibri"/>
          <w:bCs/>
          <w:kern w:val="0"/>
          <w:sz w:val="20"/>
          <w:szCs w:val="20"/>
          <w14:ligatures w14:val="none"/>
        </w:rPr>
        <w:t>NAMs offer clear advantages, including improved human translatability, reduced development costs and timelines, deeper mechanistic insights through omics technologies, and ethical benefits by minimising animal use. Global regulatory agencies are increasingly aligning with this shift, fostering international acceptance of non-animal methodologies.</w:t>
      </w:r>
    </w:p>
    <w:p w14:paraId="1E989776" w14:textId="77777777" w:rsidR="000F2833" w:rsidRPr="000F2833" w:rsidRDefault="000F2833" w:rsidP="000F2833">
      <w:pPr>
        <w:spacing w:after="0" w:line="240" w:lineRule="auto"/>
        <w:jc w:val="both"/>
        <w:rPr>
          <w:rFonts w:ascii="Arial" w:eastAsia="Calibri" w:hAnsi="Arial" w:cs="Calibri"/>
          <w:bCs/>
          <w:kern w:val="0"/>
          <w:sz w:val="20"/>
          <w:szCs w:val="20"/>
          <w14:ligatures w14:val="none"/>
        </w:rPr>
      </w:pPr>
    </w:p>
    <w:p w14:paraId="5EF745E2" w14:textId="77777777" w:rsidR="000F2833" w:rsidRPr="000F2833" w:rsidRDefault="000F2833" w:rsidP="000F2833">
      <w:pPr>
        <w:spacing w:after="0" w:line="240" w:lineRule="auto"/>
        <w:jc w:val="both"/>
        <w:rPr>
          <w:rFonts w:ascii="Arial" w:eastAsia="Calibri" w:hAnsi="Arial" w:cs="Calibri"/>
          <w:bCs/>
          <w:kern w:val="0"/>
          <w:sz w:val="20"/>
          <w:szCs w:val="20"/>
          <w14:ligatures w14:val="none"/>
        </w:rPr>
      </w:pPr>
      <w:r w:rsidRPr="000F2833">
        <w:rPr>
          <w:rFonts w:ascii="Arial" w:eastAsia="Calibri" w:hAnsi="Arial" w:cs="Calibri"/>
          <w:bCs/>
          <w:kern w:val="0"/>
          <w:sz w:val="20"/>
          <w:szCs w:val="20"/>
          <w14:ligatures w14:val="none"/>
        </w:rPr>
        <w:t>Nevertheless, challenges persist. Certain NAMs still require further validation to accurately predict complex clinical outcomes. Technical limitations also remain in modelling multi-organ interactions and chronic toxicity endpoints. Regulatory harmonisation is ongoing, and broad adoption will require continued investment in infrastructure, validation frameworks, and workforce training.</w:t>
      </w:r>
    </w:p>
    <w:p w14:paraId="4F40DBE6" w14:textId="77777777" w:rsidR="000F2833" w:rsidRPr="000F2833" w:rsidRDefault="000F2833" w:rsidP="000F2833">
      <w:pPr>
        <w:spacing w:after="0" w:line="240" w:lineRule="auto"/>
        <w:jc w:val="both"/>
        <w:rPr>
          <w:rFonts w:ascii="Arial" w:eastAsia="Calibri" w:hAnsi="Arial" w:cs="Calibri"/>
          <w:bCs/>
          <w:kern w:val="0"/>
          <w:sz w:val="20"/>
          <w:szCs w:val="20"/>
          <w14:ligatures w14:val="none"/>
        </w:rPr>
      </w:pPr>
    </w:p>
    <w:p w14:paraId="0640D682" w14:textId="77777777" w:rsidR="000F2833" w:rsidRPr="000F2833" w:rsidRDefault="000F2833" w:rsidP="000F2833">
      <w:pPr>
        <w:spacing w:after="0" w:line="240" w:lineRule="auto"/>
        <w:jc w:val="both"/>
        <w:rPr>
          <w:rFonts w:ascii="Arial" w:eastAsia="Calibri" w:hAnsi="Arial" w:cs="Calibri"/>
          <w:bCs/>
          <w:kern w:val="0"/>
          <w:sz w:val="20"/>
          <w:szCs w:val="20"/>
          <w14:ligatures w14:val="none"/>
        </w:rPr>
      </w:pPr>
      <w:r w:rsidRPr="000F2833">
        <w:rPr>
          <w:rFonts w:ascii="Arial" w:eastAsia="Calibri" w:hAnsi="Arial" w:cs="Calibri"/>
          <w:bCs/>
          <w:kern w:val="0"/>
          <w:sz w:val="20"/>
          <w:szCs w:val="20"/>
          <w14:ligatures w14:val="none"/>
        </w:rPr>
        <w:t>This presentation will trace the legislative trajectory, review current implementation progress, and provide a balanced assessment of the potential and limitations of NAMs in reshaping modern drug development pipelines.</w:t>
      </w:r>
    </w:p>
    <w:p w14:paraId="2AE5F339" w14:textId="5DA774CD" w:rsidR="00DE70A8" w:rsidRDefault="00DE70A8" w:rsidP="00211098">
      <w:pPr>
        <w:spacing w:after="0" w:line="240" w:lineRule="auto"/>
        <w:jc w:val="both"/>
        <w:rPr>
          <w:rFonts w:ascii="Arial" w:eastAsia="Calibri" w:hAnsi="Arial" w:cs="Calibri"/>
          <w:bCs/>
          <w:kern w:val="0"/>
          <w:sz w:val="20"/>
          <w:szCs w:val="20"/>
          <w14:ligatures w14:val="none"/>
        </w:rPr>
      </w:pPr>
    </w:p>
    <w:sectPr w:rsidR="00DE7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4F9C"/>
    <w:multiLevelType w:val="hybridMultilevel"/>
    <w:tmpl w:val="CCD81520"/>
    <w:lvl w:ilvl="0" w:tplc="E174AEB0">
      <w:start w:val="1"/>
      <w:numFmt w:val="decimal"/>
      <w:lvlText w:val="%1."/>
      <w:lvlJc w:val="left"/>
      <w:pPr>
        <w:ind w:left="502"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847135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25AA3"/>
    <w:rsid w:val="000A1EED"/>
    <w:rsid w:val="000F2833"/>
    <w:rsid w:val="00107368"/>
    <w:rsid w:val="00113BB7"/>
    <w:rsid w:val="00126C16"/>
    <w:rsid w:val="001958B1"/>
    <w:rsid w:val="001C0DA1"/>
    <w:rsid w:val="002017E6"/>
    <w:rsid w:val="00211098"/>
    <w:rsid w:val="002367A6"/>
    <w:rsid w:val="00276507"/>
    <w:rsid w:val="00294059"/>
    <w:rsid w:val="003206E4"/>
    <w:rsid w:val="00375813"/>
    <w:rsid w:val="003A6D5C"/>
    <w:rsid w:val="003E2795"/>
    <w:rsid w:val="0040676C"/>
    <w:rsid w:val="00437C69"/>
    <w:rsid w:val="004402E8"/>
    <w:rsid w:val="004730CA"/>
    <w:rsid w:val="004A51B6"/>
    <w:rsid w:val="00502BC4"/>
    <w:rsid w:val="00510CF8"/>
    <w:rsid w:val="00512A0E"/>
    <w:rsid w:val="00575A29"/>
    <w:rsid w:val="005F20ED"/>
    <w:rsid w:val="00601754"/>
    <w:rsid w:val="006367D7"/>
    <w:rsid w:val="006A34BE"/>
    <w:rsid w:val="006F3F1C"/>
    <w:rsid w:val="007141F2"/>
    <w:rsid w:val="0074163C"/>
    <w:rsid w:val="007561D8"/>
    <w:rsid w:val="00777795"/>
    <w:rsid w:val="00795378"/>
    <w:rsid w:val="00796206"/>
    <w:rsid w:val="007C367E"/>
    <w:rsid w:val="007C79D4"/>
    <w:rsid w:val="008071C5"/>
    <w:rsid w:val="00886B85"/>
    <w:rsid w:val="00906D34"/>
    <w:rsid w:val="00933DC9"/>
    <w:rsid w:val="00936D4C"/>
    <w:rsid w:val="00952030"/>
    <w:rsid w:val="009523F9"/>
    <w:rsid w:val="009650DF"/>
    <w:rsid w:val="009B1CBB"/>
    <w:rsid w:val="009C6791"/>
    <w:rsid w:val="00A0516D"/>
    <w:rsid w:val="00A26BA8"/>
    <w:rsid w:val="00A324E4"/>
    <w:rsid w:val="00A47F3E"/>
    <w:rsid w:val="00A9205C"/>
    <w:rsid w:val="00B24B4F"/>
    <w:rsid w:val="00B42F46"/>
    <w:rsid w:val="00B44D4A"/>
    <w:rsid w:val="00B4721D"/>
    <w:rsid w:val="00B62AF6"/>
    <w:rsid w:val="00B62CFB"/>
    <w:rsid w:val="00B8473A"/>
    <w:rsid w:val="00B944CC"/>
    <w:rsid w:val="00BD1254"/>
    <w:rsid w:val="00C21815"/>
    <w:rsid w:val="00C267D6"/>
    <w:rsid w:val="00C315D2"/>
    <w:rsid w:val="00C353D8"/>
    <w:rsid w:val="00C539F5"/>
    <w:rsid w:val="00CB0DC0"/>
    <w:rsid w:val="00CF5A91"/>
    <w:rsid w:val="00D02BB1"/>
    <w:rsid w:val="00D33680"/>
    <w:rsid w:val="00D45A74"/>
    <w:rsid w:val="00D7428F"/>
    <w:rsid w:val="00D774C4"/>
    <w:rsid w:val="00DB70C5"/>
    <w:rsid w:val="00DB7B4F"/>
    <w:rsid w:val="00DE70A8"/>
    <w:rsid w:val="00EC3746"/>
    <w:rsid w:val="00F101A2"/>
    <w:rsid w:val="00F539FB"/>
    <w:rsid w:val="00F85528"/>
    <w:rsid w:val="00FA3595"/>
    <w:rsid w:val="00FC5AA0"/>
    <w:rsid w:val="00FE3F3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NormalWeb">
    <w:name w:val="Normal (Web)"/>
    <w:basedOn w:val="Normal"/>
    <w:uiPriority w:val="99"/>
    <w:semiHidden/>
    <w:unhideWhenUsed/>
    <w:rsid w:val="00B94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7ab653c37937c980465c52d6e7d31139">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10e180e731da454a23c0130a391d37da"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59DDB7D8-3990-410C-AD7E-233A20D21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1695</Characters>
  <Application>Microsoft Office Word</Application>
  <DocSecurity>0</DocSecurity>
  <Lines>30</Lines>
  <Paragraphs>10</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Constanze Wobschal</cp:lastModifiedBy>
  <cp:revision>5</cp:revision>
  <dcterms:created xsi:type="dcterms:W3CDTF">2025-11-14T06:11:00Z</dcterms:created>
  <dcterms:modified xsi:type="dcterms:W3CDTF">2025-11-14T06:12:00Z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