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BE626">
      <w:pPr>
        <w:bidi w:val="0"/>
        <w:jc w:val="center"/>
        <w:rPr>
          <w:rFonts w:hint="default" w:ascii="Times New Roman Bold" w:hAnsi="Times New Roman Bold" w:eastAsia="宋体" w:cs="Times New Roman Bold"/>
          <w:b/>
          <w:bCs/>
          <w:sz w:val="21"/>
          <w:szCs w:val="21"/>
          <w:lang w:val="en-US" w:eastAsia="zh-CN"/>
        </w:rPr>
      </w:pPr>
      <w:r>
        <w:rPr>
          <w:rFonts w:hint="default" w:ascii="Times New Roman Bold" w:hAnsi="Times New Roman Bold" w:eastAsia="宋体" w:cs="Times New Roman Bold"/>
          <w:b/>
          <w:bCs/>
          <w:sz w:val="21"/>
          <w:szCs w:val="21"/>
          <w:lang w:val="en-US" w:eastAsia="zh-CN"/>
        </w:rPr>
        <w:t>Association of Long-term Non</w:t>
      </w:r>
      <w:r>
        <w:rPr>
          <w:rFonts w:hint="eastAsia" w:ascii="Times New Roman Bold" w:hAnsi="Times New Roman Bold" w:eastAsia="宋体" w:cs="Times New Roman Bold"/>
          <w:b/>
          <w:bCs/>
          <w:sz w:val="21"/>
          <w:szCs w:val="21"/>
          <w:lang w:val="en-US" w:eastAsia="zh-CN"/>
        </w:rPr>
        <w:t>-</w:t>
      </w:r>
      <w:r>
        <w:rPr>
          <w:rFonts w:hint="default" w:ascii="Times New Roman Bold" w:hAnsi="Times New Roman Bold" w:eastAsia="宋体" w:cs="Times New Roman Bold"/>
          <w:b/>
          <w:bCs/>
          <w:sz w:val="21"/>
          <w:szCs w:val="21"/>
          <w:lang w:val="en-US" w:eastAsia="zh-CN"/>
        </w:rPr>
        <w:t>adherence With Visual Function Outcomes After Anti–VEGF Therapy for Chronic Retinal Diseases and Its Predictive Value</w:t>
      </w:r>
    </w:p>
    <w:p w14:paraId="7A53B1A9">
      <w:pPr>
        <w:bidi w:val="0"/>
        <w:jc w:val="center"/>
        <w:rPr>
          <w:rFonts w:hint="eastAsia" w:ascii="Times New Roman Regular" w:hAnsi="Times New Roman Regular" w:eastAsia="宋体" w:cs="Times New Roman Regular"/>
          <w:sz w:val="21"/>
          <w:szCs w:val="21"/>
          <w:lang w:val="en-US" w:eastAsia="zh-CN"/>
        </w:rPr>
      </w:pPr>
      <w:bookmarkStart w:id="0" w:name="_GoBack"/>
      <w:r>
        <w:rPr>
          <w:rFonts w:hint="eastAsia" w:ascii="Times New Roman Regular" w:hAnsi="Times New Roman Regular" w:eastAsia="宋体" w:cs="Times New Roman Regular"/>
          <w:sz w:val="21"/>
          <w:szCs w:val="21"/>
          <w:lang w:val="en-US" w:eastAsia="zh-CN"/>
        </w:rPr>
        <w:t>Huaxiong Zhou</w:t>
      </w:r>
    </w:p>
    <w:p w14:paraId="31DA41C3">
      <w:pPr>
        <w:bidi w:val="0"/>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The People's Hospital of Nanchuan, Chongqing</w:t>
      </w:r>
      <w:r>
        <w:rPr>
          <w:rFonts w:hint="eastAsia" w:ascii="Times New Roman Regular" w:hAnsi="Times New Roman Regular" w:eastAsia="宋体" w:cs="Times New Roman Regular"/>
          <w:sz w:val="21"/>
          <w:szCs w:val="21"/>
          <w:lang w:val="en-US" w:eastAsia="zh-CN"/>
        </w:rPr>
        <w:t>,China</w:t>
      </w:r>
    </w:p>
    <w:bookmarkEnd w:id="0"/>
    <w:p w14:paraId="7A95605B">
      <w:pPr>
        <w:bidi w:val="0"/>
        <w:jc w:val="left"/>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b/>
          <w:bCs/>
          <w:sz w:val="21"/>
          <w:szCs w:val="21"/>
          <w:lang w:eastAsia="zh-CN"/>
        </w:rPr>
        <w:t>【Abstract】</w:t>
      </w:r>
      <w:r>
        <w:rPr>
          <w:rFonts w:hint="eastAsia" w:ascii="Times New Roman Regular" w:hAnsi="Times New Roman Regular" w:eastAsia="宋体" w:cs="Times New Roman Regular"/>
          <w:b/>
          <w:bCs/>
          <w:sz w:val="21"/>
          <w:szCs w:val="21"/>
          <w:lang w:val="en-US" w:eastAsia="zh-CN"/>
        </w:rPr>
        <w:t xml:space="preserve">Background </w:t>
      </w:r>
      <w:r>
        <w:rPr>
          <w:rFonts w:hint="default" w:ascii="Times New Roman Regular" w:hAnsi="Times New Roman Regular" w:eastAsia="宋体" w:cs="Times New Roman Regular"/>
          <w:sz w:val="21"/>
          <w:szCs w:val="21"/>
          <w:lang w:val="en-US" w:eastAsia="zh-CN"/>
        </w:rPr>
        <w:t>Anti–VEGF agents were first-line therapies for the treatment of chronic retinal diseases, however, long-term non</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adherence was associated with unfavorable visual function outcomes.</w:t>
      </w:r>
      <w:r>
        <w:rPr>
          <w:rFonts w:hint="eastAsia"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
          <w:bCs/>
          <w:sz w:val="21"/>
          <w:szCs w:val="21"/>
          <w:lang w:eastAsia="zh-CN"/>
        </w:rPr>
        <w:t>Objectiv</w:t>
      </w:r>
      <w:r>
        <w:rPr>
          <w:rFonts w:hint="default" w:ascii="Times New Roman Regular" w:hAnsi="Times New Roman Regular" w:eastAsia="宋体" w:cs="Times New Roman Regular"/>
          <w:sz w:val="21"/>
          <w:szCs w:val="21"/>
          <w:lang w:eastAsia="zh-CN"/>
        </w:rPr>
        <w:t>e</w:t>
      </w:r>
      <w:r>
        <w:rPr>
          <w:rFonts w:hint="default" w:ascii="Times New Roman Regular" w:hAnsi="Times New Roman Regular" w:eastAsia="宋体" w:cs="Times New Roman Regular"/>
          <w:sz w:val="21"/>
          <w:szCs w:val="21"/>
          <w:lang w:val="en-US" w:eastAsia="zh-CN"/>
        </w:rPr>
        <w:t xml:space="preserve"> This study aimed to investigate the association between long-term non</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adherence and visual function outcomes after anti–VEGF therapy in patients with chronic retinal diseases and to assess its predictive value.</w:t>
      </w:r>
      <w:r>
        <w:rPr>
          <w:rFonts w:hint="eastAsia" w:ascii="Times New Roman Regular" w:hAnsi="Times New Roman Regular" w:eastAsia="宋体" w:cs="Times New Roman Regular"/>
          <w:sz w:val="21"/>
          <w:szCs w:val="21"/>
          <w:lang w:val="en-US" w:eastAsia="zh-CN"/>
        </w:rPr>
        <w:t xml:space="preserve"> </w:t>
      </w:r>
      <w:r>
        <w:rPr>
          <w:rFonts w:hint="default" w:ascii="Times New Roman Bold" w:hAnsi="Times New Roman Bold" w:eastAsia="宋体" w:cs="Times New Roman Bold"/>
          <w:b/>
          <w:bCs/>
          <w:sz w:val="21"/>
          <w:szCs w:val="21"/>
          <w:lang w:eastAsia="zh-CN"/>
        </w:rPr>
        <w:t>Methods</w:t>
      </w:r>
      <w:r>
        <w:rPr>
          <w:rFonts w:hint="default" w:ascii="Times New Roman Regular" w:hAnsi="Times New Roman Regular" w:eastAsia="宋体" w:cs="Times New Roman Regular"/>
          <w:sz w:val="21"/>
          <w:szCs w:val="21"/>
          <w:lang w:val="en-US" w:eastAsia="zh-CN"/>
        </w:rPr>
        <w:t xml:space="preserve"> A retrospective study was conducted among patients with chronic retinal diseases who received anti–VEGF therapy at the People’s Hospital of Nanchuan District, Chongqing, China, between January 2023 and December 2024. According to visual function outcomes at 12 months after anti–VEGF treatment, patients were categorized into study group with poor visual outcomes(n</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52,52 eyes) and control group with favorable visual outcomes(n</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84,84eyes).</w:t>
      </w:r>
      <w:r>
        <w:rPr>
          <w:rFonts w:hint="eastAsia" w:ascii="Times New Roman Regular" w:hAnsi="Times New Roman Regular" w:eastAsia="宋体" w:cs="Times New Roman Regular"/>
          <w:sz w:val="21"/>
          <w:szCs w:val="21"/>
          <w:lang w:val="en-US" w:eastAsia="zh-CN"/>
        </w:rPr>
        <w:t xml:space="preserve"> </w:t>
      </w:r>
      <w:r>
        <w:rPr>
          <w:rFonts w:hint="default" w:ascii="Times New Roman Bold" w:hAnsi="Times New Roman Bold" w:eastAsia="宋体" w:cs="Times New Roman Bold"/>
          <w:b/>
          <w:bCs/>
          <w:sz w:val="21"/>
          <w:szCs w:val="21"/>
          <w:lang w:eastAsia="zh-CN"/>
        </w:rPr>
        <w:t>Results</w:t>
      </w:r>
      <w:r>
        <w:rPr>
          <w:rFonts w:hint="default" w:ascii="Times New Roman Regular" w:hAnsi="Times New Roman Regular" w:eastAsia="宋体" w:cs="Times New Roman Regular"/>
          <w:sz w:val="21"/>
          <w:szCs w:val="21"/>
          <w:lang w:val="en-US" w:eastAsia="zh-CN"/>
        </w:rPr>
        <w:t xml:space="preserve"> </w:t>
      </w:r>
      <w:r>
        <w:rPr>
          <w:rFonts w:hint="eastAsia" w:ascii="Times New Roman Regular" w:hAnsi="Times New Roman Regular" w:eastAsia="宋体" w:cs="Times New Roman Regular"/>
          <w:sz w:val="21"/>
          <w:szCs w:val="21"/>
          <w:lang w:val="en-US" w:eastAsia="zh-CN"/>
        </w:rPr>
        <w:t>A total of 136 patients(136eyes) were included in this study. Compared with the control group, the study group showed significantly higher proportions of failure to complete the loading phase</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59.6%</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31/52</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vs 33.3%</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28/84</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greater injection-interval CV</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0.45</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IQR</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0.33</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0.60</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vs 0.26</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IQR</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0.17</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0.38</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and worse baseline BCVA </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0.73</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IQR</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0.57</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0.90</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L</w:t>
      </w:r>
      <w:r>
        <w:rPr>
          <w:rFonts w:hint="eastAsia" w:ascii="Times New Roman Regular" w:hAnsi="Times New Roman Regular" w:eastAsia="宋体" w:cs="Times New Roman Regular"/>
          <w:sz w:val="21"/>
          <w:szCs w:val="21"/>
          <w:highlight w:val="none"/>
          <w:lang w:val="en-US" w:eastAsia="zh-CN"/>
        </w:rPr>
        <w:t xml:space="preserve">ogMAR </w:t>
      </w:r>
      <w:r>
        <w:rPr>
          <w:rFonts w:hint="eastAsia" w:ascii="Times New Roman Regular" w:hAnsi="Times New Roman Regular" w:eastAsia="宋体" w:cs="Times New Roman Regular"/>
          <w:sz w:val="21"/>
          <w:szCs w:val="21"/>
          <w:lang w:val="en-US" w:eastAsia="zh-CN"/>
        </w:rPr>
        <w:t>vs 0.56</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IQR</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0.42</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0.73</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L</w:t>
      </w:r>
      <w:r>
        <w:rPr>
          <w:rFonts w:hint="eastAsia" w:ascii="Times New Roman Regular" w:hAnsi="Times New Roman Regular" w:eastAsia="宋体" w:cs="Times New Roman Regular"/>
          <w:sz w:val="21"/>
          <w:szCs w:val="21"/>
          <w:highlight w:val="none"/>
          <w:lang w:val="en-US" w:eastAsia="zh-CN"/>
        </w:rPr>
        <w:t>ogMAR</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w:t>
      </w:r>
      <w:r>
        <w:rPr>
          <w:rFonts w:hint="default" w:ascii="Times New Roman Italic" w:hAnsi="Times New Roman Italic" w:eastAsia="宋体" w:cs="Times New Roman Italic"/>
          <w:i/>
          <w:iCs/>
          <w:sz w:val="21"/>
          <w:szCs w:val="21"/>
          <w:lang w:val="en-US" w:eastAsia="zh-CN"/>
        </w:rPr>
        <w:t>P</w:t>
      </w:r>
      <w:r>
        <w:rPr>
          <w:rFonts w:hint="default" w:ascii="Times New Roman Regular" w:hAnsi="Times New Roman Regular" w:eastAsia="宋体" w:cs="Times New Roman Regular"/>
          <w:sz w:val="21"/>
          <w:szCs w:val="21"/>
          <w:lang w:val="en-US" w:eastAsia="zh-CN"/>
        </w:rPr>
        <w:t>&lt;0.05</w:t>
      </w:r>
      <w:r>
        <w:rPr>
          <w:rFonts w:hint="eastAsia" w:ascii="Times New Roman Regular" w:hAnsi="Times New Roman Regular" w:eastAsia="宋体" w:cs="Times New Roman Regular"/>
          <w:sz w:val="21"/>
          <w:szCs w:val="21"/>
          <w:lang w:val="en-US" w:eastAsia="zh-CN"/>
        </w:rPr>
        <w:t>). Multivariable logistic regression analysis showed that failure to complete the loading phase</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a</w:t>
      </w:r>
      <w:r>
        <w:rPr>
          <w:rFonts w:hint="default" w:ascii="Times New Roman Regular" w:hAnsi="Times New Roman Regular" w:eastAsia="宋体" w:cs="Times New Roman Regular"/>
          <w:sz w:val="21"/>
          <w:szCs w:val="21"/>
          <w:lang w:val="en-US" w:eastAsia="zh-CN"/>
        </w:rPr>
        <w:t>OR=</w:t>
      </w:r>
      <w:r>
        <w:rPr>
          <w:rFonts w:hint="eastAsia" w:ascii="Times New Roman Regular" w:hAnsi="Times New Roman Regular" w:eastAsia="宋体" w:cs="Times New Roman Regular"/>
          <w:kern w:val="2"/>
          <w:sz w:val="21"/>
          <w:szCs w:val="21"/>
          <w:lang w:val="en-US" w:eastAsia="zh-CN" w:bidi="ar-SA"/>
        </w:rPr>
        <w:t>2.63</w:t>
      </w:r>
      <w:r>
        <w:rPr>
          <w:rFonts w:hint="default" w:ascii="Times New Roman Regular" w:hAnsi="Times New Roman Regular" w:eastAsia="宋体" w:cs="Times New Roman Regular"/>
          <w:sz w:val="21"/>
          <w:szCs w:val="21"/>
          <w:lang w:val="en-US" w:eastAsia="zh-CN"/>
        </w:rPr>
        <w:t>(95%</w:t>
      </w:r>
      <w:r>
        <w:rPr>
          <w:rFonts w:hint="default" w:ascii="Times New Roman Italic" w:hAnsi="Times New Roman Italic" w:eastAsia="宋体" w:cs="Times New Roman Italic"/>
          <w:i/>
          <w:iCs/>
          <w:sz w:val="21"/>
          <w:szCs w:val="21"/>
          <w:lang w:val="en-US" w:eastAsia="zh-CN"/>
        </w:rPr>
        <w:t>CI</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w:t>
      </w:r>
      <w:r>
        <w:rPr>
          <w:rFonts w:hint="eastAsia" w:ascii="Times New Roman Regular" w:hAnsi="Times New Roman Regular" w:eastAsia="宋体" w:cs="Times New Roman Regular"/>
          <w:kern w:val="2"/>
          <w:sz w:val="21"/>
          <w:szCs w:val="21"/>
          <w:lang w:val="en-US" w:eastAsia="zh-CN" w:bidi="ar-SA"/>
        </w:rPr>
        <w:t>1.22</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kern w:val="2"/>
          <w:sz w:val="21"/>
          <w:szCs w:val="21"/>
          <w:lang w:val="en-US" w:eastAsia="zh-CN" w:bidi="ar-SA"/>
        </w:rPr>
        <w:t>5.67</w:t>
      </w:r>
      <w:r>
        <w:rPr>
          <w:rFonts w:hint="default" w:ascii="Times New Roman Regular" w:hAnsi="Times New Roman Regular" w:eastAsia="宋体" w:cs="Times New Roman Regular"/>
          <w:sz w:val="21"/>
          <w:szCs w:val="21"/>
          <w:lang w:val="en-US" w:eastAsia="zh-CN"/>
        </w:rPr>
        <w:t>),</w:t>
      </w:r>
      <w:r>
        <w:rPr>
          <w:rFonts w:hint="default" w:ascii="Times New Roman Italic" w:hAnsi="Times New Roman Italic" w:eastAsia="宋体" w:cs="Times New Roman Italic"/>
          <w:i/>
          <w:iCs/>
          <w:sz w:val="21"/>
          <w:szCs w:val="21"/>
          <w:lang w:val="en-US" w:eastAsia="zh-CN"/>
        </w:rPr>
        <w:t>P</w:t>
      </w:r>
      <w:r>
        <w:rPr>
          <w:rFonts w:hint="default" w:ascii="Times New Roman Regular" w:hAnsi="Times New Roman Regular" w:eastAsia="宋体" w:cs="Times New Roman Regular"/>
          <w:sz w:val="21"/>
          <w:szCs w:val="21"/>
          <w:lang w:val="en-US" w:eastAsia="zh-CN"/>
        </w:rPr>
        <w:t>=0.0</w:t>
      </w:r>
      <w:r>
        <w:rPr>
          <w:rFonts w:hint="eastAsia" w:ascii="Times New Roman Regular" w:hAnsi="Times New Roman Regular" w:eastAsia="宋体" w:cs="Times New Roman Regular"/>
          <w:sz w:val="21"/>
          <w:szCs w:val="21"/>
          <w:lang w:val="en-US" w:eastAsia="zh-CN"/>
        </w:rPr>
        <w:t>1</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increased injection-interval CV</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a</w:t>
      </w:r>
      <w:r>
        <w:rPr>
          <w:rFonts w:hint="default" w:ascii="Times New Roman Regular" w:hAnsi="Times New Roman Regular" w:eastAsia="宋体" w:cs="Times New Roman Regular"/>
          <w:sz w:val="21"/>
          <w:szCs w:val="21"/>
          <w:lang w:val="en-US" w:eastAsia="zh-CN"/>
        </w:rPr>
        <w:t>OR=</w:t>
      </w:r>
      <w:r>
        <w:rPr>
          <w:rFonts w:hint="eastAsia" w:ascii="Times New Roman Regular" w:hAnsi="Times New Roman Regular" w:eastAsia="宋体" w:cs="Times New Roman Regular"/>
          <w:kern w:val="2"/>
          <w:sz w:val="21"/>
          <w:szCs w:val="21"/>
          <w:lang w:val="en-US" w:eastAsia="zh-CN" w:bidi="ar-SA"/>
        </w:rPr>
        <w:t>2.14</w:t>
      </w:r>
      <w:r>
        <w:rPr>
          <w:rFonts w:hint="default" w:ascii="Times New Roman Regular" w:hAnsi="Times New Roman Regular" w:eastAsia="宋体" w:cs="Times New Roman Regular"/>
          <w:sz w:val="21"/>
          <w:szCs w:val="21"/>
          <w:lang w:val="en-US" w:eastAsia="zh-CN"/>
        </w:rPr>
        <w:t>(95%</w:t>
      </w:r>
      <w:r>
        <w:rPr>
          <w:rFonts w:hint="default" w:ascii="Times New Roman Italic" w:hAnsi="Times New Roman Italic" w:eastAsia="宋体" w:cs="Times New Roman Italic"/>
          <w:i/>
          <w:iCs/>
          <w:sz w:val="21"/>
          <w:szCs w:val="21"/>
          <w:lang w:val="en-US" w:eastAsia="zh-CN"/>
        </w:rPr>
        <w:t>CI</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w:t>
      </w:r>
      <w:r>
        <w:rPr>
          <w:rFonts w:hint="eastAsia" w:ascii="Times New Roman Regular" w:hAnsi="Times New Roman Regular" w:eastAsia="宋体" w:cs="Times New Roman Regular"/>
          <w:kern w:val="2"/>
          <w:sz w:val="21"/>
          <w:szCs w:val="21"/>
          <w:lang w:val="en-US" w:eastAsia="zh-CN" w:bidi="ar-SA"/>
        </w:rPr>
        <w:t>1.01</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kern w:val="2"/>
          <w:sz w:val="21"/>
          <w:szCs w:val="21"/>
          <w:lang w:val="en-US" w:eastAsia="zh-CN" w:bidi="ar-SA"/>
        </w:rPr>
        <w:t>4.52</w:t>
      </w:r>
      <w:r>
        <w:rPr>
          <w:rFonts w:hint="default" w:ascii="Times New Roman Regular" w:hAnsi="Times New Roman Regular" w:eastAsia="宋体" w:cs="Times New Roman Regular"/>
          <w:sz w:val="21"/>
          <w:szCs w:val="21"/>
          <w:lang w:val="en-US" w:eastAsia="zh-CN"/>
        </w:rPr>
        <w:t>),</w:t>
      </w:r>
      <w:r>
        <w:rPr>
          <w:rFonts w:hint="default" w:ascii="Times New Roman Italic" w:hAnsi="Times New Roman Italic" w:eastAsia="宋体" w:cs="Times New Roman Italic"/>
          <w:i/>
          <w:iCs/>
          <w:sz w:val="21"/>
          <w:szCs w:val="21"/>
          <w:lang w:val="en-US" w:eastAsia="zh-CN"/>
        </w:rPr>
        <w:t>P</w:t>
      </w:r>
      <w:r>
        <w:rPr>
          <w:rFonts w:hint="default" w:ascii="Times New Roman Regular" w:hAnsi="Times New Roman Regular" w:eastAsia="宋体" w:cs="Times New Roman Regular"/>
          <w:sz w:val="21"/>
          <w:szCs w:val="21"/>
          <w:lang w:val="en-US" w:eastAsia="zh-CN"/>
        </w:rPr>
        <w:t>=0.0</w:t>
      </w:r>
      <w:r>
        <w:rPr>
          <w:rFonts w:hint="eastAsia" w:ascii="Times New Roman Regular" w:hAnsi="Times New Roman Regular" w:eastAsia="宋体" w:cs="Times New Roman Regular"/>
          <w:sz w:val="21"/>
          <w:szCs w:val="21"/>
          <w:lang w:val="en-US" w:eastAsia="zh-CN"/>
        </w:rPr>
        <w:t>4</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and higher baseline BCVA</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a</w:t>
      </w:r>
      <w:r>
        <w:rPr>
          <w:rFonts w:hint="default" w:ascii="Times New Roman Regular" w:hAnsi="Times New Roman Regular" w:eastAsia="宋体" w:cs="Times New Roman Regular"/>
          <w:sz w:val="21"/>
          <w:szCs w:val="21"/>
          <w:lang w:val="en-US" w:eastAsia="zh-CN"/>
        </w:rPr>
        <w:t>OR=</w:t>
      </w:r>
      <w:r>
        <w:rPr>
          <w:rFonts w:hint="eastAsia" w:ascii="Times New Roman Regular" w:hAnsi="Times New Roman Regular" w:eastAsia="宋体" w:cs="Times New Roman Regular"/>
          <w:kern w:val="2"/>
          <w:sz w:val="21"/>
          <w:szCs w:val="21"/>
          <w:lang w:val="en-US" w:eastAsia="zh-CN" w:bidi="ar-SA"/>
        </w:rPr>
        <w:t>1.51</w:t>
      </w:r>
      <w:r>
        <w:rPr>
          <w:rFonts w:hint="default" w:ascii="Times New Roman Regular" w:hAnsi="Times New Roman Regular" w:eastAsia="宋体" w:cs="Times New Roman Regular"/>
          <w:sz w:val="21"/>
          <w:szCs w:val="21"/>
          <w:lang w:val="en-US" w:eastAsia="zh-CN"/>
        </w:rPr>
        <w:t>(95%</w:t>
      </w:r>
      <w:r>
        <w:rPr>
          <w:rFonts w:hint="default" w:ascii="Times New Roman Italic" w:hAnsi="Times New Roman Italic" w:eastAsia="宋体" w:cs="Times New Roman Italic"/>
          <w:i/>
          <w:iCs/>
          <w:sz w:val="21"/>
          <w:szCs w:val="21"/>
          <w:lang w:val="en-US" w:eastAsia="zh-CN"/>
        </w:rPr>
        <w:t>CI</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kern w:val="2"/>
          <w:sz w:val="21"/>
          <w:szCs w:val="21"/>
          <w:lang w:val="en-US" w:eastAsia="zh-CN" w:bidi="ar-SA"/>
        </w:rPr>
        <w:t>1.10</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kern w:val="2"/>
          <w:sz w:val="21"/>
          <w:szCs w:val="21"/>
          <w:lang w:val="en-US" w:eastAsia="zh-CN" w:bidi="ar-SA"/>
        </w:rPr>
        <w:t>2.08</w:t>
      </w:r>
      <w:r>
        <w:rPr>
          <w:rFonts w:hint="default" w:ascii="Times New Roman Regular" w:hAnsi="Times New Roman Regular" w:eastAsia="宋体" w:cs="Times New Roman Regular"/>
          <w:sz w:val="21"/>
          <w:szCs w:val="21"/>
          <w:lang w:val="en-US" w:eastAsia="zh-CN"/>
        </w:rPr>
        <w:t>),</w:t>
      </w:r>
      <w:r>
        <w:rPr>
          <w:rFonts w:hint="default" w:ascii="Times New Roman Italic" w:hAnsi="Times New Roman Italic" w:eastAsia="宋体" w:cs="Times New Roman Italic"/>
          <w:i/>
          <w:iCs/>
          <w:sz w:val="21"/>
          <w:szCs w:val="21"/>
          <w:lang w:val="en-US" w:eastAsia="zh-CN"/>
        </w:rPr>
        <w:t>P</w:t>
      </w:r>
      <w:r>
        <w:rPr>
          <w:rFonts w:hint="default" w:ascii="Times New Roman Regular" w:hAnsi="Times New Roman Regular" w:eastAsia="宋体" w:cs="Times New Roman Regular"/>
          <w:sz w:val="21"/>
          <w:szCs w:val="21"/>
          <w:lang w:val="en-US" w:eastAsia="zh-CN"/>
        </w:rPr>
        <w:t>=0.0</w:t>
      </w:r>
      <w:r>
        <w:rPr>
          <w:rFonts w:hint="eastAsia" w:ascii="Times New Roman Regular" w:hAnsi="Times New Roman Regular" w:eastAsia="宋体" w:cs="Times New Roman Regular"/>
          <w:sz w:val="21"/>
          <w:szCs w:val="21"/>
          <w:lang w:val="en-US" w:eastAsia="zh-CN"/>
        </w:rPr>
        <w:t>1</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were independent risk factors for poor visual outcomes. The combined predictive model demonstrated good performance </w:t>
      </w:r>
      <w:r>
        <w:rPr>
          <w:rFonts w:hint="default" w:ascii="Times New Roman Regular" w:hAnsi="Times New Roman Regular" w:eastAsia="宋体" w:cs="Times New Roman Regular"/>
          <w:sz w:val="21"/>
          <w:szCs w:val="21"/>
          <w:lang w:val="en-US" w:eastAsia="zh-CN"/>
        </w:rPr>
        <w:t>[AUC=</w:t>
      </w:r>
      <w:r>
        <w:rPr>
          <w:rFonts w:hint="eastAsia" w:ascii="Times New Roman Regular" w:hAnsi="Times New Roman Regular" w:eastAsia="宋体" w:cs="Times New Roman Regular"/>
          <w:sz w:val="21"/>
          <w:szCs w:val="21"/>
          <w:lang w:val="en-US" w:eastAsia="zh-CN"/>
        </w:rPr>
        <w:t>0.75</w:t>
      </w:r>
      <w:r>
        <w:rPr>
          <w:rFonts w:hint="default" w:ascii="Times New Roman Regular" w:hAnsi="Times New Roman Regular" w:eastAsia="宋体" w:cs="Times New Roman Regular"/>
          <w:sz w:val="21"/>
          <w:szCs w:val="21"/>
          <w:lang w:val="en-US" w:eastAsia="zh-CN"/>
        </w:rPr>
        <w:t>(95%</w:t>
      </w:r>
      <w:r>
        <w:rPr>
          <w:rFonts w:hint="default" w:ascii="Times New Roman Italic" w:hAnsi="Times New Roman Italic" w:eastAsia="宋体" w:cs="Times New Roman Italic"/>
          <w:i/>
          <w:iCs/>
          <w:sz w:val="21"/>
          <w:szCs w:val="21"/>
          <w:lang w:val="en-US" w:eastAsia="zh-CN"/>
        </w:rPr>
        <w:t>CI</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0.67</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0.83</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w:t>
      </w:r>
      <w:r>
        <w:rPr>
          <w:rFonts w:hint="default" w:ascii="Times New Roman Bold" w:hAnsi="Times New Roman Bold" w:eastAsia="宋体" w:cs="Times New Roman Bold"/>
          <w:b/>
          <w:bCs/>
          <w:sz w:val="21"/>
          <w:szCs w:val="21"/>
          <w:lang w:eastAsia="zh-CN"/>
        </w:rPr>
        <w:t>Conclusion</w:t>
      </w:r>
      <w:r>
        <w:rPr>
          <w:rFonts w:hint="eastAsia" w:ascii="Times New Roman Bold" w:hAnsi="Times New Roman Bold" w:eastAsia="宋体" w:cs="Times New Roman Bold"/>
          <w:b/>
          <w:bCs/>
          <w:sz w:val="21"/>
          <w:szCs w:val="21"/>
          <w:lang w:val="en-US" w:eastAsia="zh-CN"/>
        </w:rPr>
        <w:t xml:space="preserve"> </w:t>
      </w:r>
      <w:r>
        <w:rPr>
          <w:rFonts w:hint="default" w:ascii="Times New Roman Regular" w:hAnsi="Times New Roman Regular" w:eastAsia="宋体" w:cs="Times New Roman Regular"/>
          <w:sz w:val="21"/>
          <w:szCs w:val="21"/>
          <w:lang w:val="en-US" w:eastAsia="zh-CN"/>
        </w:rPr>
        <w:t>During anti–VEGF therapy for chronic retinal diseases, greater attention should have been given to the management of long-term adherence in order to improve visual function outcomes.</w:t>
      </w:r>
    </w:p>
    <w:p w14:paraId="600F23E6">
      <w:pP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b/>
          <w:bCs/>
          <w:sz w:val="21"/>
          <w:szCs w:val="21"/>
          <w:lang w:eastAsia="zh-CN"/>
        </w:rPr>
        <w:t>【Keywords】</w:t>
      </w:r>
      <w:r>
        <w:rPr>
          <w:rFonts w:hint="eastAsia" w:ascii="Times New Roman Regular" w:hAnsi="Times New Roman Regular" w:eastAsia="宋体" w:cs="Times New Roman Regular"/>
          <w:sz w:val="21"/>
          <w:szCs w:val="21"/>
          <w:lang w:val="en-US" w:eastAsia="zh-CN"/>
        </w:rPr>
        <w:t>VEGF</w:t>
      </w:r>
      <w:r>
        <w:rPr>
          <w:rFonts w:hint="default" w:ascii="Times New Roman Regular" w:hAnsi="Times New Roman Regular" w:eastAsia="宋体" w:cs="Times New Roman Regular"/>
          <w:sz w:val="21"/>
          <w:szCs w:val="21"/>
          <w:lang w:val="en-US" w:eastAsia="zh-CN"/>
        </w:rPr>
        <w:t xml:space="preserve">, Non-adherence, </w:t>
      </w:r>
      <w:r>
        <w:rPr>
          <w:rFonts w:hint="eastAsia" w:ascii="Times New Roman Regular" w:hAnsi="Times New Roman Regular" w:eastAsia="宋体" w:cs="Times New Roman Regular"/>
          <w:sz w:val="21"/>
          <w:szCs w:val="21"/>
          <w:lang w:val="en-US" w:eastAsia="zh-CN"/>
        </w:rPr>
        <w:t>R</w:t>
      </w:r>
      <w:r>
        <w:rPr>
          <w:rFonts w:hint="default" w:ascii="Times New Roman Regular" w:hAnsi="Times New Roman Regular" w:eastAsia="宋体" w:cs="Times New Roman Regular"/>
          <w:sz w:val="21"/>
          <w:szCs w:val="21"/>
          <w:lang w:val="en-US" w:eastAsia="zh-CN"/>
        </w:rPr>
        <w:t>etinal disease</w:t>
      </w:r>
    </w:p>
    <w:p w14:paraId="56AE97B3">
      <w:pPr>
        <w:rPr>
          <w:rFonts w:hint="default" w:ascii="Times New Roman Bold" w:hAnsi="Times New Roman Bold" w:eastAsia="宋体" w:cs="Times New Roman Bold"/>
          <w:b/>
          <w:bCs/>
          <w:sz w:val="21"/>
          <w:szCs w:val="21"/>
          <w:highlight w:val="none"/>
          <w:lang w:val="en-US" w:eastAsia="zh-CN"/>
        </w:rPr>
      </w:pPr>
      <w:r>
        <w:rPr>
          <w:rFonts w:hint="default" w:ascii="Times New Roman Bold" w:hAnsi="Times New Roman Bold" w:eastAsia="宋体" w:cs="Times New Roman Bold"/>
          <w:b/>
          <w:bCs/>
          <w:sz w:val="21"/>
          <w:szCs w:val="21"/>
          <w:highlight w:val="none"/>
          <w:lang w:val="en-US" w:eastAsia="zh-CN"/>
        </w:rPr>
        <w:t>References</w:t>
      </w:r>
    </w:p>
    <w:p w14:paraId="2DDF5A87">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Wallsh JO, Gallemore RP. Anti-VEGF-Resistant Retinal Diseases: A Review of the Latest Treatment Options. Cells. 2021;10(5):1049.</w:t>
      </w:r>
    </w:p>
    <w:p w14:paraId="6117DDCE">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 xml:space="preserve">Patil NS, Mihalache A, Dhoot AS, Popovic MM, Muni RH, Kertes PJ. Association Between Visual Acuity and Residual Retinal Fluid Following Intravitreal Anti-Vascular Endothelial Growth Factor Treatment for Neovascular Age-Related Macular Degeneration: A Systematic Review and Meta-analysis. JAMA Ophthalmol. 2022;140(6):611-622. </w:t>
      </w:r>
    </w:p>
    <w:p w14:paraId="00A33C2A">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Shahzad H, Mahmood S, McGee S, et al. Non-adherence and non-persistence to intravitreal anti-vascular endothelial growth factor (anti-VEGF) therapy: a systematic review and meta-analysis. Syst Rev. 2023;12(1):92.</w:t>
      </w:r>
    </w:p>
    <w:p w14:paraId="679EF11B">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Holz FG, Ziemssen F, Bauer-Steinhusen U, et al. Adherence to Intravitreal Aflibercept in Neovascular Age-Related Macular Degeneration: 24-Month Results from the ANDROMEDA Study. Ophthalmol Retina. Published online September 16, 2025.</w:t>
      </w:r>
    </w:p>
    <w:p w14:paraId="4EBB9D39">
      <w:pPr>
        <w:ind w:firstLine="420" w:firstLineChars="200"/>
        <w:jc w:val="left"/>
        <w:rPr>
          <w:rFonts w:hint="default" w:ascii="Times New Roman Regular" w:hAnsi="Times New Roman Regular" w:eastAsia="宋体" w:cs="Times New Roman Regular"/>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Times New Roman Bold">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Italic">
    <w:panose1 w:val="02020503050405090304"/>
    <w:charset w:val="00"/>
    <w:family w:val="auto"/>
    <w:pitch w:val="default"/>
    <w:sig w:usb0="00000000" w:usb1="00000000" w:usb2="00000001" w:usb3="00000000" w:csb0="400001BF" w:csb1="DFF70000"/>
  </w:font>
  <w:font w:name="KSOFE816CA0F">
    <w:panose1 w:val="020206030504050203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E13EF"/>
    <w:multiLevelType w:val="singleLevel"/>
    <w:tmpl w:val="5FBE13EF"/>
    <w:lvl w:ilvl="0" w:tentative="0">
      <w:start w:val="1"/>
      <w:numFmt w:val="decimal"/>
      <w:lvlText w:val="[%1]"/>
      <w:lvlJc w:val="left"/>
      <w:pPr>
        <w:tabs>
          <w:tab w:val="left" w:pos="312"/>
        </w:tabs>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OGM2MDgzMmFiZDNlODFjNWNhNTNhNjg2MDY2OWYifQ=="/>
  </w:docVars>
  <w:rsids>
    <w:rsidRoot w:val="F9DD55CC"/>
    <w:rsid w:val="0FBB3E35"/>
    <w:rsid w:val="0FFE4552"/>
    <w:rsid w:val="0FFFB8C3"/>
    <w:rsid w:val="114E9E3E"/>
    <w:rsid w:val="1BBB04BD"/>
    <w:rsid w:val="1CD7F7AF"/>
    <w:rsid w:val="1FEF6285"/>
    <w:rsid w:val="2B3B6C35"/>
    <w:rsid w:val="2E7FECD7"/>
    <w:rsid w:val="32EDF9A6"/>
    <w:rsid w:val="37EF2477"/>
    <w:rsid w:val="3AE956EE"/>
    <w:rsid w:val="3BDFCE58"/>
    <w:rsid w:val="3EB5128D"/>
    <w:rsid w:val="3F7328EE"/>
    <w:rsid w:val="3FF2F54F"/>
    <w:rsid w:val="476B4AF9"/>
    <w:rsid w:val="4EFF543B"/>
    <w:rsid w:val="53F7270F"/>
    <w:rsid w:val="55EE3225"/>
    <w:rsid w:val="55FFE381"/>
    <w:rsid w:val="579FECBC"/>
    <w:rsid w:val="57FFE4AD"/>
    <w:rsid w:val="59F997F3"/>
    <w:rsid w:val="5DCF7C2F"/>
    <w:rsid w:val="5EFEA1DB"/>
    <w:rsid w:val="5F768AF6"/>
    <w:rsid w:val="5FDB9ED3"/>
    <w:rsid w:val="5FF11936"/>
    <w:rsid w:val="5FFDB508"/>
    <w:rsid w:val="6317F2F3"/>
    <w:rsid w:val="6697D9AE"/>
    <w:rsid w:val="66F57BA6"/>
    <w:rsid w:val="66FE8806"/>
    <w:rsid w:val="6733DF29"/>
    <w:rsid w:val="679F1C31"/>
    <w:rsid w:val="67CFDC2D"/>
    <w:rsid w:val="67F8877E"/>
    <w:rsid w:val="67FB3C1B"/>
    <w:rsid w:val="69F76A5A"/>
    <w:rsid w:val="6AAF3ED1"/>
    <w:rsid w:val="6CF74E8C"/>
    <w:rsid w:val="6D97CE9F"/>
    <w:rsid w:val="6EB69BBE"/>
    <w:rsid w:val="6ED9F016"/>
    <w:rsid w:val="6EF13845"/>
    <w:rsid w:val="6F0F563B"/>
    <w:rsid w:val="6F8B0B4B"/>
    <w:rsid w:val="6FBD3D83"/>
    <w:rsid w:val="71D5A73E"/>
    <w:rsid w:val="732B0507"/>
    <w:rsid w:val="7369FFDE"/>
    <w:rsid w:val="7579174E"/>
    <w:rsid w:val="76C76ACE"/>
    <w:rsid w:val="77A9C217"/>
    <w:rsid w:val="77AF5B07"/>
    <w:rsid w:val="77B316A2"/>
    <w:rsid w:val="77F630DD"/>
    <w:rsid w:val="7B5A00E6"/>
    <w:rsid w:val="7BED2F8F"/>
    <w:rsid w:val="7BEEB59D"/>
    <w:rsid w:val="7BFDC000"/>
    <w:rsid w:val="7CAF39E3"/>
    <w:rsid w:val="7D46B6FC"/>
    <w:rsid w:val="7DBF7FC0"/>
    <w:rsid w:val="7EAF12EC"/>
    <w:rsid w:val="7EEFF11F"/>
    <w:rsid w:val="7F26BB6B"/>
    <w:rsid w:val="7F4B42EB"/>
    <w:rsid w:val="7F98FEB9"/>
    <w:rsid w:val="7FC6896C"/>
    <w:rsid w:val="7FCF6C7C"/>
    <w:rsid w:val="7FEA83E1"/>
    <w:rsid w:val="7FEDB23E"/>
    <w:rsid w:val="7FEF20CF"/>
    <w:rsid w:val="7FFBD743"/>
    <w:rsid w:val="7FFF779B"/>
    <w:rsid w:val="7FFF907E"/>
    <w:rsid w:val="8F57F4FB"/>
    <w:rsid w:val="97F17432"/>
    <w:rsid w:val="9BF8A3BC"/>
    <w:rsid w:val="9DFBA014"/>
    <w:rsid w:val="9FF9E4BE"/>
    <w:rsid w:val="A5ABE3FB"/>
    <w:rsid w:val="ACE5499C"/>
    <w:rsid w:val="B17D83B0"/>
    <w:rsid w:val="B3B6C2D3"/>
    <w:rsid w:val="B3B715F1"/>
    <w:rsid w:val="B3E9C262"/>
    <w:rsid w:val="B6CFF222"/>
    <w:rsid w:val="B953D6EE"/>
    <w:rsid w:val="BBD71379"/>
    <w:rsid w:val="BCB53BCF"/>
    <w:rsid w:val="BDBF3881"/>
    <w:rsid w:val="BF844604"/>
    <w:rsid w:val="BF9F1DAA"/>
    <w:rsid w:val="BFADF6C3"/>
    <w:rsid w:val="BFDF6492"/>
    <w:rsid w:val="BFE366EE"/>
    <w:rsid w:val="C7935E67"/>
    <w:rsid w:val="CFD6B530"/>
    <w:rsid w:val="D5FF831F"/>
    <w:rsid w:val="D6A7789E"/>
    <w:rsid w:val="D77BD8C6"/>
    <w:rsid w:val="D7BF08D3"/>
    <w:rsid w:val="D967B994"/>
    <w:rsid w:val="DCD38D6C"/>
    <w:rsid w:val="DDFAC392"/>
    <w:rsid w:val="DF4F0684"/>
    <w:rsid w:val="E7BFAE43"/>
    <w:rsid w:val="EBFF5053"/>
    <w:rsid w:val="ECEFCF02"/>
    <w:rsid w:val="EED05A0C"/>
    <w:rsid w:val="EF9F0F2D"/>
    <w:rsid w:val="EFB5360A"/>
    <w:rsid w:val="EFCF535C"/>
    <w:rsid w:val="EFDD37A3"/>
    <w:rsid w:val="EFE91FF8"/>
    <w:rsid w:val="EFF3B6CA"/>
    <w:rsid w:val="EFFFA10B"/>
    <w:rsid w:val="F2B3E77C"/>
    <w:rsid w:val="F33F328D"/>
    <w:rsid w:val="F3BFC350"/>
    <w:rsid w:val="F66DF5B3"/>
    <w:rsid w:val="F6BD0211"/>
    <w:rsid w:val="F6FFADD2"/>
    <w:rsid w:val="F74FE697"/>
    <w:rsid w:val="F7BDD21A"/>
    <w:rsid w:val="F7FC612C"/>
    <w:rsid w:val="F7FFF448"/>
    <w:rsid w:val="F93FE234"/>
    <w:rsid w:val="F9BFA4FB"/>
    <w:rsid w:val="F9DD55CC"/>
    <w:rsid w:val="FB6B5C51"/>
    <w:rsid w:val="FB9B1B9C"/>
    <w:rsid w:val="FBEF7CF1"/>
    <w:rsid w:val="FBF40794"/>
    <w:rsid w:val="FBFF3995"/>
    <w:rsid w:val="FDBF5A32"/>
    <w:rsid w:val="FDFF21DB"/>
    <w:rsid w:val="FDFF2E96"/>
    <w:rsid w:val="FE1C0E97"/>
    <w:rsid w:val="FECF6754"/>
    <w:rsid w:val="FEDF0D20"/>
    <w:rsid w:val="FEDF32D7"/>
    <w:rsid w:val="FEF74597"/>
    <w:rsid w:val="FFEF83A4"/>
    <w:rsid w:val="FFEF8D4D"/>
    <w:rsid w:val="FFF73603"/>
    <w:rsid w:val="FFF767C1"/>
    <w:rsid w:val="FFFE347C"/>
    <w:rsid w:val="FFFF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character" w:customStyle="1" w:styleId="9">
    <w:name w:val="s1"/>
    <w:basedOn w:val="6"/>
    <w:uiPriority w:val="0"/>
    <w:rPr>
      <w:rFonts w:ascii="pingfang sc" w:hAnsi="pingfang sc" w:eastAsia="pingfang sc" w:cs="pingfang sc"/>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2879</Characters>
  <Lines>0</Lines>
  <Paragraphs>0</Paragraphs>
  <TotalTime>0</TotalTime>
  <ScaleCrop>false</ScaleCrop>
  <LinksUpToDate>false</LinksUpToDate>
  <CharactersWithSpaces>3241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2023-12-14T19:15:00Z</dcterms:created>
  <dc:creator>爱笑进化论</dc:creator>
  <cp:lastModifiedBy>bird</cp:lastModifiedBy>
  <dcterms:modified xsi:type="dcterms:W3CDTF">2026-04-21T13:17:58Z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F4DCBCCB6380DCCDB666616550412D48_41</vt:lpwstr>
  </property>
  <property fmtid="{D5CDD505-2E9C-101B-9397-08002B2CF9AE}" pid="4" name="KSOTemplateDocerSaveRecord">
    <vt:lpwstr>eyJoZGlkIjoiNGNhMTY2Nzc3Njg5ODc3MzNhMDg2NzFkMzBjNTBhNzUiLCJ1c2VySWQiOiI3NDI4NDkwODgifQ==</vt:lpwstr>
  </property>
</Properties>
</file>