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87BB" w14:textId="5224851C" w:rsidR="001E1122" w:rsidRPr="001E1122" w:rsidRDefault="00EC55E9" w:rsidP="00C315D2">
      <w:pPr>
        <w:spacing w:after="0" w:line="240" w:lineRule="auto"/>
        <w:rPr>
          <w:rFonts w:ascii="Arial" w:eastAsia="等线" w:hAnsi="Arial" w:cs="Arial" w:hint="eastAsia"/>
          <w:b/>
          <w:bCs/>
          <w:kern w:val="0"/>
          <w:lang w:val="en-US" w:eastAsia="zh-CN"/>
          <w14:ligatures w14:val="none"/>
        </w:rPr>
      </w:pP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Enhancing mRNA-lipid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N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anoparticle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P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rediction </w:t>
      </w:r>
      <w:r w:rsidR="00306C8D"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v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ia the </w:t>
      </w:r>
      <w:r w:rsidR="00AC7C2E">
        <w:rPr>
          <w:rFonts w:ascii="Arial" w:eastAsia="等线" w:hAnsi="Arial" w:cs="Arial" w:hint="eastAsia"/>
          <w:b/>
          <w:bCs/>
          <w:kern w:val="0"/>
          <w:lang w:val="en-US" w:eastAsia="zh-CN"/>
          <w14:ligatures w14:val="none"/>
        </w:rPr>
        <w:t xml:space="preserve">Chemical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L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anguage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M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odel and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M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ulti-task </w:t>
      </w:r>
      <w:r w:rsidRPr="00306C8D">
        <w:rPr>
          <w:rFonts w:ascii="Arial" w:eastAsia="等线" w:hAnsi="Arial" w:cs="Arial"/>
          <w:b/>
          <w:bCs/>
          <w:kern w:val="0"/>
          <w:lang w:val="en-US" w:eastAsia="zh-CN"/>
          <w14:ligatures w14:val="none"/>
        </w:rPr>
        <w:t>L</w:t>
      </w:r>
      <w:r w:rsidRPr="00306C8D">
        <w:rPr>
          <w:rFonts w:ascii="Arial" w:eastAsia="Calibri" w:hAnsi="Arial" w:cs="Arial"/>
          <w:b/>
          <w:bCs/>
          <w:kern w:val="0"/>
          <w:lang w:val="en-US"/>
          <w14:ligatures w14:val="none"/>
        </w:rPr>
        <w:t>earning</w:t>
      </w:r>
    </w:p>
    <w:p w14:paraId="79141BD9" w14:textId="23910FF2" w:rsidR="00C315D2" w:rsidRPr="00C315D2" w:rsidRDefault="00A43910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>Yiyang Wu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Defang Ouyang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6F8D6251" w:rsidR="00C315D2" w:rsidRDefault="001E1122" w:rsidP="00C315D2">
      <w:pPr>
        <w:spacing w:after="0" w:line="240" w:lineRule="auto"/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</w:pPr>
      <w:r w:rsidRPr="001E11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Macau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Mac</w:t>
      </w:r>
      <w:r w:rsidRPr="001E1122">
        <w:rPr>
          <w:rFonts w:ascii="Arial" w:eastAsia="Calibri" w:hAnsi="Arial" w:cs="Calibri" w:hint="eastAsia"/>
          <w:kern w:val="0"/>
          <w:sz w:val="20"/>
          <w:szCs w:val="20"/>
          <w14:ligatures w14:val="none"/>
        </w:rPr>
        <w:t>au</w:t>
      </w:r>
      <w:r w:rsidR="00D2267E"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 xml:space="preserve"> SAR</w:t>
      </w:r>
      <w:r w:rsidR="00C315D2" w:rsidRPr="001E112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, </w:t>
      </w:r>
      <w:r w:rsidRPr="001E1122">
        <w:rPr>
          <w:rFonts w:ascii="Arial" w:eastAsia="Calibri" w:hAnsi="Arial" w:cs="Calibri" w:hint="eastAsia"/>
          <w:kern w:val="0"/>
          <w:sz w:val="20"/>
          <w:szCs w:val="20"/>
          <w14:ligatures w14:val="none"/>
        </w:rPr>
        <w:t>China</w:t>
      </w:r>
      <w:r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>.</w:t>
      </w:r>
    </w:p>
    <w:p w14:paraId="6D8E2E22" w14:textId="77777777" w:rsidR="001E1122" w:rsidRPr="001E1122" w:rsidRDefault="001E1122" w:rsidP="00C315D2">
      <w:pPr>
        <w:spacing w:after="0" w:line="240" w:lineRule="auto"/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</w:pPr>
    </w:p>
    <w:p w14:paraId="2385039D" w14:textId="5433C2E2" w:rsidR="00C315D2" w:rsidRPr="000922EC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E7392" w:rsidRPr="005E73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Traditional ionizable lipid screening for mRNA lipid nanoparticles (mRNA-LNPs) relies on resource-intensive trial-and-error experiments</w:t>
      </w:r>
      <w:r w:rsidR="00E45F39" w:rsidRPr="00092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While machine learning approaches have offered promise in 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>accelerating the development</w:t>
      </w:r>
      <w:r w:rsidR="00E45F39" w:rsidRPr="00092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mRNA-LNPs, their applications are limited by small datasets</w:t>
      </w:r>
      <w:r w:rsidR="000922EC" w:rsidRPr="00092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64CA8711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To address the 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challenges </w:t>
      </w:r>
      <w:r w:rsidR="00961D38">
        <w:rPr>
          <w:rFonts w:ascii="Arial" w:hAnsi="Arial" w:cs="Calibri" w:hint="eastAsia"/>
          <w:bCs/>
          <w:kern w:val="0"/>
          <w:sz w:val="20"/>
          <w:szCs w:val="20"/>
          <w:lang w:eastAsia="zh-CN"/>
        </w:rPr>
        <w:t>posed by limited d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ata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>, w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 developed FormulationLNP, a model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 </w:t>
      </w:r>
      <w:r w:rsidR="00961D38">
        <w:rPr>
          <w:rFonts w:ascii="Arial" w:hAnsi="Arial" w:cs="Calibri" w:hint="eastAsia"/>
          <w:bCs/>
          <w:kern w:val="0"/>
          <w:sz w:val="20"/>
          <w:szCs w:val="20"/>
          <w:lang w:eastAsia="zh-CN"/>
        </w:rPr>
        <w:t>integrating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45F39" w:rsidRPr="00504415">
        <w:rPr>
          <w:rFonts w:ascii="Arial" w:eastAsia="Calibri" w:hAnsi="Arial" w:cs="Calibri"/>
          <w:bCs/>
          <w:kern w:val="0"/>
          <w:sz w:val="20"/>
          <w:szCs w:val="20"/>
        </w:rPr>
        <w:t>a chemical language model with multi-task learning to predict two key properties of mRNA-LNPs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: the </w:t>
      </w:r>
      <w:r w:rsidR="00E45F39" w:rsidRPr="00D9714E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 xml:space="preserve">in vivo 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delivery efficiency and apparent pKa. 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For model development, </w:t>
      </w:r>
      <w:r w:rsidR="00E45F39" w:rsidRPr="00504415">
        <w:rPr>
          <w:rFonts w:ascii="Arial" w:eastAsia="Calibri" w:hAnsi="Arial" w:cs="Calibri"/>
          <w:bCs/>
          <w:kern w:val="0"/>
          <w:sz w:val="20"/>
          <w:szCs w:val="20"/>
        </w:rPr>
        <w:t>we constructed the largest ionizable lipid structure dataset to date (~16,000 lipids) and compiled datasets for both target properties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 (Figure 1A)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An ionizable lipid-tailored chemical language model was pre-trained with SMILES enumeration to learn comprehensive lipid representations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 (Figure 1B)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E45F39" w:rsidRPr="00504415">
        <w:rPr>
          <w:rFonts w:ascii="Arial" w:eastAsia="Calibri" w:hAnsi="Arial" w:cs="Calibri"/>
          <w:bCs/>
          <w:kern w:val="0"/>
          <w:sz w:val="20"/>
          <w:szCs w:val="20"/>
        </w:rPr>
        <w:t xml:space="preserve">Given the strong correlation between apparent pKa and </w:t>
      </w:r>
      <w:r w:rsidR="00E45F39" w:rsidRPr="00504415">
        <w:rPr>
          <w:rFonts w:ascii="Arial" w:eastAsia="Calibri" w:hAnsi="Arial" w:cs="Calibri"/>
          <w:bCs/>
          <w:i/>
          <w:iCs/>
          <w:kern w:val="0"/>
          <w:sz w:val="20"/>
          <w:szCs w:val="20"/>
        </w:rPr>
        <w:t>in vivo</w:t>
      </w:r>
      <w:r w:rsidR="00E45F39" w:rsidRPr="00504415">
        <w:rPr>
          <w:rFonts w:ascii="Arial" w:eastAsia="Calibri" w:hAnsi="Arial" w:cs="Calibri"/>
          <w:bCs/>
          <w:kern w:val="0"/>
          <w:sz w:val="20"/>
          <w:szCs w:val="20"/>
        </w:rPr>
        <w:t xml:space="preserve"> delivery efficiency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(1), a multi-task learning architecture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 was implemented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simultaneously fine-tune both prediction tasks</w:t>
      </w:r>
      <w:r w:rsidR="00E45F39">
        <w:rPr>
          <w:rFonts w:ascii="Arial" w:hAnsi="Arial" w:cs="Calibri" w:hint="eastAsia"/>
          <w:bCs/>
          <w:kern w:val="0"/>
          <w:sz w:val="20"/>
          <w:szCs w:val="20"/>
        </w:rPr>
        <w:t xml:space="preserve"> (Figure 1C)</w:t>
      </w:r>
      <w:r w:rsidR="00E45F39" w:rsidRPr="00D971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tbl>
      <w:tblPr>
        <w:tblStyle w:val="af0"/>
        <w:tblpPr w:leftFromText="180" w:rightFromText="180" w:vertAnchor="text" w:horzAnchor="page" w:tblpX="6032" w:tblpY="2596"/>
        <w:tblW w:w="439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276"/>
        <w:gridCol w:w="284"/>
        <w:gridCol w:w="1134"/>
      </w:tblGrid>
      <w:tr w:rsidR="00B37272" w:rsidRPr="004B5F66" w14:paraId="3702A088" w14:textId="77777777" w:rsidTr="00B37272"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3E526ADC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ADA61B2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E2D975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 w:hint="eastAsia"/>
                <w:b/>
                <w:bCs/>
                <w:sz w:val="16"/>
                <w:szCs w:val="16"/>
              </w:rPr>
            </w:pPr>
            <w:r w:rsidRPr="00B37272">
              <w:rPr>
                <w:b/>
                <w:bCs/>
                <w:i/>
                <w:sz w:val="16"/>
                <w:szCs w:val="16"/>
              </w:rPr>
              <w:t>In vivo</w:t>
            </w:r>
            <w:r w:rsidRPr="00B37272">
              <w:rPr>
                <w:b/>
                <w:bCs/>
                <w:sz w:val="16"/>
                <w:szCs w:val="16"/>
              </w:rPr>
              <w:t xml:space="preserve"> delivery efficiency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7BD37A4" w14:textId="77777777" w:rsidR="00517281" w:rsidRPr="00B37272" w:rsidRDefault="00517281" w:rsidP="00B37272">
            <w:pPr>
              <w:spacing w:line="312" w:lineRule="auto"/>
              <w:jc w:val="both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610C7C1F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B37272">
              <w:rPr>
                <w:b/>
                <w:bCs/>
                <w:sz w:val="16"/>
                <w:szCs w:val="16"/>
              </w:rPr>
              <w:t>Apparent pKa</w:t>
            </w:r>
          </w:p>
        </w:tc>
      </w:tr>
      <w:tr w:rsidR="00B37272" w:rsidRPr="004B5F66" w14:paraId="1D1A79E8" w14:textId="77777777" w:rsidTr="00B37272"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7AD55120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B37272">
              <w:rPr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964304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95DD2C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B37272">
              <w:rPr>
                <w:rFonts w:hint="eastAsia"/>
                <w:b/>
                <w:bCs/>
                <w:sz w:val="16"/>
                <w:szCs w:val="16"/>
              </w:rPr>
              <w:t>ROC-AUC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D054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F0EFD5C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B37272">
              <w:rPr>
                <w:rFonts w:hint="eastAsia"/>
                <w:b/>
                <w:bCs/>
                <w:sz w:val="16"/>
                <w:szCs w:val="16"/>
              </w:rPr>
              <w:t>ROC-AUC</w:t>
            </w:r>
          </w:p>
        </w:tc>
      </w:tr>
      <w:tr w:rsidR="00B37272" w:rsidRPr="004B5F66" w14:paraId="0D5444F3" w14:textId="77777777" w:rsidTr="00B37272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BC377B3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r w:rsidRPr="00B37272">
              <w:rPr>
                <w:sz w:val="16"/>
                <w:szCs w:val="16"/>
              </w:rPr>
              <w:t>LightGBM-RDKit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D3CD45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8F3B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6"/>
                <w:szCs w:val="16"/>
              </w:rPr>
            </w:pPr>
            <w:r w:rsidRPr="00B37272">
              <w:rPr>
                <w:rFonts w:eastAsia="等线"/>
                <w:sz w:val="16"/>
                <w:szCs w:val="16"/>
              </w:rPr>
              <w:t>0.</w:t>
            </w:r>
            <w:r w:rsidRPr="00B37272">
              <w:rPr>
                <w:rFonts w:eastAsia="等线" w:hint="eastAsia"/>
                <w:sz w:val="16"/>
                <w:szCs w:val="16"/>
              </w:rPr>
              <w:t>855</w:t>
            </w:r>
            <w:r w:rsidRPr="00B37272">
              <w:rPr>
                <w:rFonts w:eastAsia="等线"/>
                <w:sz w:val="16"/>
                <w:szCs w:val="16"/>
              </w:rPr>
              <w:t>±0.0</w:t>
            </w:r>
            <w:r w:rsidRPr="00B37272">
              <w:rPr>
                <w:rFonts w:eastAsia="等线" w:hint="eastAsia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A8FF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C9CFAF4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6"/>
                <w:szCs w:val="16"/>
              </w:rPr>
            </w:pPr>
            <w:r w:rsidRPr="00B37272">
              <w:rPr>
                <w:rFonts w:eastAsia="等线"/>
                <w:sz w:val="16"/>
                <w:szCs w:val="16"/>
              </w:rPr>
              <w:t>0.</w:t>
            </w:r>
            <w:r w:rsidRPr="00B37272">
              <w:rPr>
                <w:rFonts w:eastAsia="等线" w:hint="eastAsia"/>
                <w:sz w:val="16"/>
                <w:szCs w:val="16"/>
              </w:rPr>
              <w:t>856</w:t>
            </w:r>
            <w:r w:rsidRPr="00B37272">
              <w:rPr>
                <w:rFonts w:eastAsia="等线"/>
                <w:sz w:val="16"/>
                <w:szCs w:val="16"/>
              </w:rPr>
              <w:t>±0.0</w:t>
            </w:r>
            <w:r w:rsidRPr="00B37272">
              <w:rPr>
                <w:rFonts w:eastAsia="等线" w:hint="eastAsia"/>
                <w:sz w:val="16"/>
                <w:szCs w:val="16"/>
              </w:rPr>
              <w:t>54</w:t>
            </w:r>
          </w:p>
        </w:tc>
      </w:tr>
      <w:tr w:rsidR="00B37272" w:rsidRPr="004B5F66" w14:paraId="34DF11DC" w14:textId="77777777" w:rsidTr="00B37272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4E5DDBD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r w:rsidRPr="00B37272">
              <w:rPr>
                <w:sz w:val="16"/>
                <w:szCs w:val="16"/>
              </w:rPr>
              <w:t>DNN-ECFP6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789618" w14:textId="77777777" w:rsidR="00517281" w:rsidRPr="00B37272" w:rsidRDefault="00517281" w:rsidP="00B37272">
            <w:pPr>
              <w:spacing w:line="312" w:lineRule="auto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E910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r w:rsidRPr="00B37272">
              <w:rPr>
                <w:rFonts w:hint="eastAsia"/>
                <w:sz w:val="16"/>
                <w:szCs w:val="16"/>
              </w:rPr>
              <w:t>0.852</w:t>
            </w:r>
            <w:r w:rsidRPr="00B37272">
              <w:rPr>
                <w:sz w:val="16"/>
                <w:szCs w:val="16"/>
              </w:rPr>
              <w:t>±0.0</w:t>
            </w:r>
            <w:r w:rsidRPr="00B37272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FC8E" w14:textId="77777777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390CA33C" w14:textId="77777777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  <w:r w:rsidRPr="00B37272">
              <w:rPr>
                <w:color w:val="000000" w:themeColor="text1"/>
                <w:sz w:val="16"/>
                <w:szCs w:val="16"/>
              </w:rPr>
              <w:t>0.</w:t>
            </w:r>
            <w:r w:rsidRPr="00B37272">
              <w:rPr>
                <w:rFonts w:hint="eastAsia"/>
                <w:color w:val="000000" w:themeColor="text1"/>
                <w:sz w:val="16"/>
                <w:szCs w:val="16"/>
              </w:rPr>
              <w:t>855</w:t>
            </w:r>
            <w:r w:rsidRPr="00B37272">
              <w:rPr>
                <w:rFonts w:eastAsia="等线"/>
                <w:color w:val="000000" w:themeColor="text1"/>
                <w:sz w:val="16"/>
                <w:szCs w:val="16"/>
              </w:rPr>
              <w:t>±0.0</w:t>
            </w:r>
            <w:r w:rsidRPr="00B37272">
              <w:rPr>
                <w:rFonts w:eastAsia="等线" w:hint="eastAsia"/>
                <w:color w:val="000000" w:themeColor="text1"/>
                <w:sz w:val="16"/>
                <w:szCs w:val="16"/>
              </w:rPr>
              <w:t>38</w:t>
            </w:r>
          </w:p>
        </w:tc>
      </w:tr>
      <w:tr w:rsidR="00B37272" w:rsidRPr="004B5F66" w14:paraId="3CAB2CCE" w14:textId="77777777" w:rsidTr="00B37272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CBCEF53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bookmarkStart w:id="0" w:name="_Hlk182917078"/>
            <w:r w:rsidRPr="00B37272">
              <w:rPr>
                <w:sz w:val="16"/>
                <w:szCs w:val="16"/>
              </w:rPr>
              <w:t>AttentiveFP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362B28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5580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6"/>
                <w:szCs w:val="16"/>
              </w:rPr>
            </w:pPr>
            <w:r w:rsidRPr="00B37272">
              <w:rPr>
                <w:rFonts w:eastAsia="等线" w:hint="eastAsia"/>
                <w:sz w:val="16"/>
                <w:szCs w:val="16"/>
              </w:rPr>
              <w:t>0.794</w:t>
            </w:r>
            <w:r w:rsidRPr="00B37272">
              <w:rPr>
                <w:rFonts w:eastAsia="等线"/>
                <w:sz w:val="16"/>
                <w:szCs w:val="16"/>
              </w:rPr>
              <w:t>±0.0</w:t>
            </w:r>
            <w:r w:rsidRPr="00B37272">
              <w:rPr>
                <w:rFonts w:eastAsia="等线" w:hint="eastAsia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03A4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1D9372E3" w14:textId="77777777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  <w:r w:rsidRPr="00B37272">
              <w:rPr>
                <w:color w:val="000000" w:themeColor="text1"/>
                <w:sz w:val="16"/>
                <w:szCs w:val="16"/>
              </w:rPr>
              <w:t>0.</w:t>
            </w:r>
            <w:r w:rsidRPr="00B37272">
              <w:rPr>
                <w:rFonts w:hint="eastAsia"/>
                <w:color w:val="000000" w:themeColor="text1"/>
                <w:sz w:val="16"/>
                <w:szCs w:val="16"/>
              </w:rPr>
              <w:t>680</w:t>
            </w:r>
            <w:r w:rsidRPr="00B37272">
              <w:rPr>
                <w:color w:val="000000" w:themeColor="text1"/>
                <w:sz w:val="16"/>
                <w:szCs w:val="16"/>
              </w:rPr>
              <w:t>±0.</w:t>
            </w:r>
            <w:r w:rsidRPr="00B37272">
              <w:rPr>
                <w:rFonts w:hint="eastAsia"/>
                <w:color w:val="000000" w:themeColor="text1"/>
                <w:sz w:val="16"/>
                <w:szCs w:val="16"/>
              </w:rPr>
              <w:t>129</w:t>
            </w:r>
          </w:p>
        </w:tc>
      </w:tr>
      <w:tr w:rsidR="00B37272" w:rsidRPr="004B5F66" w14:paraId="0912FF2E" w14:textId="77777777" w:rsidTr="00B37272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DE2B979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r w:rsidRPr="00B37272">
              <w:rPr>
                <w:sz w:val="16"/>
                <w:szCs w:val="16"/>
              </w:rPr>
              <w:t>ChemBERTa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F21A3E" w14:textId="77777777" w:rsidR="00517281" w:rsidRPr="00B37272" w:rsidRDefault="00517281" w:rsidP="00B37272">
            <w:pPr>
              <w:spacing w:line="312" w:lineRule="auto"/>
              <w:jc w:val="center"/>
              <w:rPr>
                <w:rFonts w:eastAsia="等线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9AB5" w14:textId="77777777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  <w:r w:rsidRPr="00B37272">
              <w:rPr>
                <w:rFonts w:hint="eastAsia"/>
                <w:sz w:val="16"/>
                <w:szCs w:val="16"/>
              </w:rPr>
              <w:t>0.837</w:t>
            </w:r>
            <w:r w:rsidRPr="00B37272">
              <w:rPr>
                <w:sz w:val="16"/>
                <w:szCs w:val="16"/>
              </w:rPr>
              <w:t>±0.0</w:t>
            </w:r>
            <w:r w:rsidRPr="00B37272"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F7F6" w14:textId="77777777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7971428C" w14:textId="6BB928F2" w:rsidR="00517281" w:rsidRPr="00B37272" w:rsidRDefault="00517281" w:rsidP="00B37272">
            <w:pPr>
              <w:spacing w:line="312" w:lineRule="auto"/>
              <w:jc w:val="center"/>
              <w:rPr>
                <w:color w:val="FF0000"/>
                <w:sz w:val="16"/>
                <w:szCs w:val="16"/>
              </w:rPr>
            </w:pPr>
            <w:r w:rsidRPr="00B37272">
              <w:rPr>
                <w:rFonts w:hint="eastAsia"/>
                <w:sz w:val="16"/>
                <w:szCs w:val="16"/>
              </w:rPr>
              <w:t>0.819</w:t>
            </w:r>
            <w:r w:rsidRPr="00B37272">
              <w:rPr>
                <w:color w:val="000000" w:themeColor="text1"/>
                <w:sz w:val="16"/>
                <w:szCs w:val="16"/>
              </w:rPr>
              <w:t>±</w:t>
            </w:r>
            <w:r w:rsidRPr="00B37272">
              <w:rPr>
                <w:rFonts w:hint="eastAsia"/>
                <w:sz w:val="16"/>
                <w:szCs w:val="16"/>
              </w:rPr>
              <w:t>0.038</w:t>
            </w:r>
          </w:p>
        </w:tc>
      </w:tr>
      <w:bookmarkEnd w:id="0"/>
      <w:tr w:rsidR="00B37272" w:rsidRPr="004B5F66" w14:paraId="7FD7D178" w14:textId="77777777" w:rsidTr="00B37272"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D4472D" w14:textId="77777777" w:rsidR="00517281" w:rsidRPr="00B37272" w:rsidRDefault="00517281" w:rsidP="00B37272">
            <w:pPr>
              <w:spacing w:line="312" w:lineRule="auto"/>
              <w:jc w:val="center"/>
              <w:rPr>
                <w:sz w:val="16"/>
                <w:szCs w:val="16"/>
              </w:rPr>
            </w:pPr>
            <w:r w:rsidRPr="00B37272">
              <w:rPr>
                <w:sz w:val="16"/>
                <w:szCs w:val="16"/>
              </w:rPr>
              <w:t>FormulationLNP (Ours)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D6B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BA412" w14:textId="6DC3A648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37272">
              <w:rPr>
                <w:rFonts w:hint="eastAsia"/>
                <w:b/>
                <w:bCs/>
                <w:sz w:val="16"/>
                <w:szCs w:val="16"/>
              </w:rPr>
              <w:t>0.862</w:t>
            </w:r>
            <w:r w:rsidRPr="00B37272">
              <w:rPr>
                <w:b/>
                <w:bCs/>
                <w:color w:val="000000" w:themeColor="text1"/>
                <w:sz w:val="16"/>
                <w:szCs w:val="16"/>
              </w:rPr>
              <w:t>±</w:t>
            </w:r>
            <w:r w:rsidRPr="00B37272">
              <w:rPr>
                <w:b/>
                <w:bCs/>
                <w:sz w:val="16"/>
                <w:szCs w:val="16"/>
              </w:rPr>
              <w:t>0.0</w:t>
            </w:r>
            <w:r w:rsidRPr="00B37272">
              <w:rPr>
                <w:rFonts w:hint="eastAsi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203FB" w14:textId="77777777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EF8BEE" w14:textId="0575DB90" w:rsidR="00517281" w:rsidRPr="00B37272" w:rsidRDefault="00517281" w:rsidP="00B37272">
            <w:pPr>
              <w:spacing w:line="312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37272">
              <w:rPr>
                <w:b/>
                <w:bCs/>
                <w:color w:val="000000" w:themeColor="text1"/>
                <w:sz w:val="16"/>
                <w:szCs w:val="16"/>
              </w:rPr>
              <w:t>0.</w:t>
            </w:r>
            <w:r w:rsidRPr="00B37272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867</w:t>
            </w:r>
            <w:r w:rsidRPr="00B37272">
              <w:rPr>
                <w:b/>
                <w:bCs/>
                <w:color w:val="000000" w:themeColor="text1"/>
                <w:sz w:val="16"/>
                <w:szCs w:val="16"/>
              </w:rPr>
              <w:t>±0.0</w:t>
            </w:r>
            <w:r w:rsidRPr="00B37272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</w:tr>
    </w:tbl>
    <w:p w14:paraId="78FDBAD3" w14:textId="4CBC6E24" w:rsidR="00517281" w:rsidRDefault="00D054CF" w:rsidP="2021B9E9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US" w:eastAsia="zh-CN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F7684" wp14:editId="4114420C">
            <wp:simplePos x="0" y="0"/>
            <wp:positionH relativeFrom="column">
              <wp:posOffset>-8255</wp:posOffset>
            </wp:positionH>
            <wp:positionV relativeFrom="paragraph">
              <wp:posOffset>1438275</wp:posOffset>
            </wp:positionV>
            <wp:extent cx="2837180" cy="1850390"/>
            <wp:effectExtent l="0" t="0" r="1270" b="0"/>
            <wp:wrapTopAndBottom/>
            <wp:docPr id="987354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54829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78"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FormulationLNP</w:t>
      </w:r>
      <w:r w:rsidR="00885F82">
        <w:rPr>
          <w:rFonts w:ascii="Arial" w:eastAsia="等线" w:hAnsi="Arial" w:cs="Calibri" w:hint="eastAsia"/>
          <w:kern w:val="0"/>
          <w:sz w:val="20"/>
          <w:szCs w:val="20"/>
          <w:lang w:val="en-US" w:eastAsia="zh-CN"/>
          <w14:ligatures w14:val="none"/>
        </w:rPr>
        <w:t>,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trained with 5-fold data augmentation</w:t>
      </w:r>
      <w:r w:rsidR="00885F82">
        <w:rPr>
          <w:rFonts w:ascii="Arial" w:eastAsia="等线" w:hAnsi="Arial" w:cs="Calibri" w:hint="eastAsia"/>
          <w:kern w:val="0"/>
          <w:sz w:val="20"/>
          <w:szCs w:val="20"/>
          <w:lang w:val="en-US" w:eastAsia="zh-CN"/>
          <w14:ligatures w14:val="none"/>
        </w:rPr>
        <w:t>,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showed excellent performance across 10 repeated experiments</w:t>
      </w:r>
      <w:r w:rsidR="004E62A2">
        <w:rPr>
          <w:rFonts w:ascii="Arial" w:hAnsi="Arial" w:cs="Calibri" w:hint="eastAsia"/>
          <w:kern w:val="0"/>
          <w:sz w:val="20"/>
          <w:szCs w:val="20"/>
        </w:rPr>
        <w:t>. It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achiev</w:t>
      </w:r>
      <w:r w:rsidR="004E62A2">
        <w:rPr>
          <w:rFonts w:ascii="Arial" w:hAnsi="Arial" w:cs="Calibri" w:hint="eastAsia"/>
          <w:kern w:val="0"/>
          <w:sz w:val="20"/>
          <w:szCs w:val="20"/>
        </w:rPr>
        <w:t>ed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ROC-AUC scores of 0.862±0.037 and 0.867±0.032 for </w:t>
      </w:r>
      <w:r w:rsidR="004E62A2" w:rsidRPr="005E76AB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in vivo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delivery efficiency and apparent pKa, respectively</w:t>
      </w:r>
      <w:r w:rsidR="004E62A2">
        <w:rPr>
          <w:rFonts w:ascii="Arial" w:hAnsi="Arial" w:cs="Calibri" w:hint="eastAsia"/>
          <w:kern w:val="0"/>
          <w:sz w:val="20"/>
          <w:szCs w:val="20"/>
        </w:rPr>
        <w:t>, outperforming other baseline models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</w:t>
      </w:r>
      <w:r w:rsidR="004E62A2">
        <w:rPr>
          <w:rFonts w:ascii="Arial" w:eastAsia="等线" w:hAnsi="Arial" w:cs="Calibri" w:hint="eastAsia"/>
          <w:kern w:val="0"/>
          <w:sz w:val="20"/>
          <w:szCs w:val="20"/>
          <w:lang w:val="en-US" w:eastAsia="zh-CN"/>
          <w14:ligatures w14:val="none"/>
        </w:rPr>
        <w:t>Table 1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). Ablation studies revealed that pre-training contributed the most to model performance, while multi-task learning enhanced predictions for both tasks simultaneously. The model </w:t>
      </w:r>
      <w:r w:rsidR="004E62A2" w:rsidRPr="00FC2855">
        <w:rPr>
          <w:rFonts w:ascii="Arial" w:eastAsia="Calibri" w:hAnsi="Arial" w:cs="Calibri"/>
          <w:kern w:val="0"/>
          <w:sz w:val="20"/>
          <w:szCs w:val="20"/>
        </w:rPr>
        <w:t>also exhibited strong generalization capability</w:t>
      </w:r>
      <w:r w:rsidR="004E62A2">
        <w:rPr>
          <w:rFonts w:ascii="Arial" w:hAnsi="Arial" w:cs="Calibri" w:hint="eastAsia"/>
          <w:kern w:val="0"/>
          <w:sz w:val="20"/>
          <w:szCs w:val="20"/>
        </w:rPr>
        <w:t xml:space="preserve">, achieving </w:t>
      </w:r>
      <w:r w:rsidR="00191DC8">
        <w:rPr>
          <w:rFonts w:ascii="Arial" w:hAnsi="Arial" w:cs="Calibri" w:hint="eastAsia"/>
          <w:kern w:val="0"/>
          <w:sz w:val="20"/>
          <w:szCs w:val="20"/>
          <w:lang w:eastAsia="zh-CN"/>
        </w:rPr>
        <w:t>predictive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accuracies of 0.882 and 0.758</w:t>
      </w:r>
      <w:r w:rsidR="004E62A2">
        <w:rPr>
          <w:rFonts w:ascii="Arial" w:hAnsi="Arial" w:cs="Calibri" w:hint="eastAsia"/>
          <w:kern w:val="0"/>
          <w:sz w:val="20"/>
          <w:szCs w:val="20"/>
        </w:rPr>
        <w:t xml:space="preserve"> on</w:t>
      </w:r>
      <w:r w:rsidR="004E62A2" w:rsidRPr="00FC2855">
        <w:rPr>
          <w:rFonts w:ascii="Arial" w:eastAsia="Calibri" w:hAnsi="Arial" w:cs="Calibri"/>
          <w:kern w:val="0"/>
          <w:sz w:val="20"/>
          <w:szCs w:val="20"/>
        </w:rPr>
        <w:t xml:space="preserve"> 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external test sets for </w:t>
      </w:r>
      <w:r w:rsidR="004E62A2" w:rsidRPr="00BA5A82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in vivo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delivery efficiency and apparent pKa, respectively. Furthermore, key ionizable lipid substructures </w:t>
      </w:r>
      <w:r w:rsidR="009E2475">
        <w:rPr>
          <w:rFonts w:ascii="Arial" w:eastAsia="等线" w:hAnsi="Arial" w:cs="Calibri" w:hint="eastAsia"/>
          <w:kern w:val="0"/>
          <w:sz w:val="20"/>
          <w:szCs w:val="20"/>
          <w:lang w:val="en-US" w:eastAsia="zh-CN"/>
          <w14:ligatures w14:val="none"/>
        </w:rPr>
        <w:t>associated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with </w:t>
      </w:r>
      <w:r w:rsidR="004E62A2" w:rsidRPr="00753EAB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in vivo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behavior</w:t>
      </w:r>
      <w:r w:rsidR="004E62A2">
        <w:rPr>
          <w:rFonts w:ascii="Arial" w:hAnsi="Arial" w:cs="Calibri" w:hint="eastAsia"/>
          <w:kern w:val="0"/>
          <w:sz w:val="20"/>
          <w:szCs w:val="20"/>
        </w:rPr>
        <w:t xml:space="preserve"> were identified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 w:rsidR="004E62A2" w:rsidRPr="00FC2855">
        <w:rPr>
          <w:rFonts w:ascii="Arial" w:eastAsia="Calibri" w:hAnsi="Arial" w:cs="Calibri"/>
          <w:kern w:val="0"/>
          <w:sz w:val="20"/>
          <w:szCs w:val="20"/>
        </w:rPr>
        <w:t>offering valuable insights for rational ionizable lipid design</w:t>
      </w:r>
      <w:r w:rsidR="004E62A2" w:rsidRPr="009B635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58EE2702" w14:textId="62BC9DC7" w:rsidR="00C315D2" w:rsidRDefault="00C315D2" w:rsidP="2021B9E9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US" w:eastAsia="zh-CN"/>
          <w14:ligatures w14:val="none"/>
        </w:rPr>
      </w:pPr>
    </w:p>
    <w:p w14:paraId="3D85BEC0" w14:textId="4E7D48F5" w:rsidR="004D1BE3" w:rsidRDefault="004D1BE3" w:rsidP="2021B9E9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</w:pPr>
    </w:p>
    <w:p w14:paraId="09CE6976" w14:textId="77777777" w:rsidR="00C33F96" w:rsidRDefault="00C33F96" w:rsidP="2021B9E9">
      <w:pPr>
        <w:spacing w:after="0" w:line="240" w:lineRule="auto"/>
        <w:jc w:val="both"/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sectPr w:rsidR="00C33F9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0AC8AD" w14:textId="64C8AF6D" w:rsidR="004D1BE3" w:rsidRPr="00D054CF" w:rsidRDefault="004D1BE3" w:rsidP="00B37272">
      <w:pPr>
        <w:spacing w:after="0" w:line="240" w:lineRule="auto"/>
        <w:jc w:val="center"/>
        <w:rPr>
          <w:rFonts w:ascii="Arial" w:hAnsi="Arial" w:cs="Arial" w:hint="eastAsia"/>
          <w:sz w:val="20"/>
          <w:szCs w:val="20"/>
          <w:lang w:eastAsia="zh-CN"/>
        </w:rPr>
      </w:pPr>
      <w:r w:rsidRPr="004D1BE3"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  <w:t>Figure 1.</w:t>
      </w:r>
      <w:r w:rsidRPr="004D1BE3">
        <w:rPr>
          <w:rFonts w:ascii="Arial" w:hAnsi="Arial" w:cs="Arial"/>
          <w:sz w:val="20"/>
          <w:szCs w:val="20"/>
        </w:rPr>
        <w:t xml:space="preserve"> The workflow of this study.</w:t>
      </w:r>
    </w:p>
    <w:p w14:paraId="44719324" w14:textId="30D63038" w:rsidR="00C315D2" w:rsidRDefault="00C315D2" w:rsidP="00687DCE">
      <w:pPr>
        <w:spacing w:after="0" w:line="240" w:lineRule="auto"/>
        <w:jc w:val="center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Table 1. </w:t>
      </w:r>
      <w:r w:rsidR="00D60CEE" w:rsidRPr="00D60CE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Comparisons of models developed by different algorithms.</w:t>
      </w:r>
    </w:p>
    <w:p w14:paraId="7E80908E" w14:textId="77777777" w:rsidR="004D1BE3" w:rsidRDefault="004D1BE3" w:rsidP="00B37272">
      <w:pPr>
        <w:spacing w:after="0" w:line="240" w:lineRule="auto"/>
        <w:jc w:val="center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  <w:sectPr w:rsidR="004D1BE3" w:rsidSect="004D1BE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3BB9643" w14:textId="77777777" w:rsidR="004D1BE3" w:rsidRPr="004D1BE3" w:rsidRDefault="004D1BE3" w:rsidP="2021B9E9">
      <w:pPr>
        <w:spacing w:after="0" w:line="240" w:lineRule="auto"/>
        <w:jc w:val="both"/>
        <w:rPr>
          <w:rFonts w:ascii="Arial" w:eastAsia="等线" w:hAnsi="Arial" w:cs="Calibri" w:hint="eastAsia"/>
          <w:kern w:val="0"/>
          <w:sz w:val="20"/>
          <w:szCs w:val="20"/>
          <w:lang w:val="en-GB" w:eastAsia="zh-CN"/>
          <w14:ligatures w14:val="none"/>
        </w:rPr>
      </w:pPr>
    </w:p>
    <w:p w14:paraId="1AF10CAD" w14:textId="41631469" w:rsidR="00C315D2" w:rsidRDefault="00B8473A" w:rsidP="00C315D2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 conclusion, by integrating pre-training, data augmentation and multi-task learning, FormulationLNP effectively addressed the challenge of small mRNA-LNP datasets</w:t>
      </w:r>
      <w:r w:rsidR="00EC2AA6">
        <w:rPr>
          <w:rFonts w:ascii="Arial" w:hAnsi="Arial" w:cs="Calibri" w:hint="eastAsia"/>
          <w:bCs/>
          <w:kern w:val="0"/>
          <w:sz w:val="20"/>
          <w:szCs w:val="20"/>
        </w:rPr>
        <w:t>.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EC2AA6">
        <w:rPr>
          <w:rFonts w:ascii="Arial" w:hAnsi="Arial" w:cs="Calibri" w:hint="eastAsia"/>
          <w:bCs/>
          <w:kern w:val="0"/>
          <w:sz w:val="20"/>
          <w:szCs w:val="20"/>
        </w:rPr>
        <w:t>This approach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provides a powerful tool </w:t>
      </w:r>
      <w:r w:rsidR="00AB63BB" w:rsidRPr="00AB63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for predicting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</w:t>
      </w:r>
      <w:r w:rsidR="00EC2AA6" w:rsidRPr="00504415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 xml:space="preserve"> in vivo 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behavior of mRNA-LNPs</w:t>
      </w:r>
      <w:r w:rsidR="00EC2AA6" w:rsidRPr="00FC2855">
        <w:rPr>
          <w:rFonts w:ascii="Tahoma" w:hAnsi="Tahoma" w:cs="Tahoma"/>
          <w:color w:val="262626"/>
          <w:sz w:val="23"/>
          <w:szCs w:val="23"/>
          <w:shd w:val="clear" w:color="auto" w:fill="FFFFFF"/>
        </w:rPr>
        <w:t xml:space="preserve"> </w:t>
      </w:r>
      <w:r w:rsidR="00EC2AA6" w:rsidRPr="00FC2855">
        <w:rPr>
          <w:rFonts w:ascii="Arial" w:eastAsia="Calibri" w:hAnsi="Arial" w:cs="Calibri"/>
          <w:bCs/>
          <w:kern w:val="0"/>
          <w:sz w:val="20"/>
          <w:szCs w:val="20"/>
        </w:rPr>
        <w:t>and will greatly accelerate the design and optimization of LNP delivery systems</w:t>
      </w:r>
      <w:r w:rsidR="00EC2AA6" w:rsidRPr="00CC179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F71393E" w14:textId="77777777" w:rsidR="00EC2AA6" w:rsidRPr="00EC2AA6" w:rsidRDefault="00EC2AA6" w:rsidP="00C315D2">
      <w:pPr>
        <w:spacing w:after="0" w:line="240" w:lineRule="auto"/>
        <w:jc w:val="both"/>
        <w:rPr>
          <w:rFonts w:ascii="Arial" w:eastAsia="等线" w:hAnsi="Arial" w:cs="Calibri" w:hint="eastAsia"/>
          <w:b/>
          <w:kern w:val="0"/>
          <w:sz w:val="20"/>
          <w:szCs w:val="20"/>
          <w:lang w:eastAsia="zh-CN"/>
          <w14:ligatures w14:val="none"/>
        </w:rPr>
      </w:pPr>
    </w:p>
    <w:p w14:paraId="7D6E388F" w14:textId="2BBABEE4" w:rsidR="00113BB7" w:rsidRPr="004D1BE3" w:rsidRDefault="00C315D2" w:rsidP="00CC1797">
      <w:pPr>
        <w:spacing w:after="0" w:line="240" w:lineRule="auto"/>
        <w:jc w:val="both"/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</w:pPr>
      <w:r w:rsidRPr="004D1BE3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4D1B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4D1BE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090124" w:rsidRPr="004D1BE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Patel P., Ibrahim NM., Cheng K. Trends Pharmacol Sci. 2021:448–60.</w:t>
      </w:r>
    </w:p>
    <w:sectPr w:rsidR="00113BB7" w:rsidRPr="004D1BE3" w:rsidSect="004D1BE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90124"/>
    <w:rsid w:val="000922EC"/>
    <w:rsid w:val="00106AE7"/>
    <w:rsid w:val="00107368"/>
    <w:rsid w:val="00113BB7"/>
    <w:rsid w:val="00191DC8"/>
    <w:rsid w:val="001E1122"/>
    <w:rsid w:val="002017E6"/>
    <w:rsid w:val="00294059"/>
    <w:rsid w:val="00306C8D"/>
    <w:rsid w:val="003206E4"/>
    <w:rsid w:val="003912C0"/>
    <w:rsid w:val="003A6D5C"/>
    <w:rsid w:val="00456D46"/>
    <w:rsid w:val="004A2F8B"/>
    <w:rsid w:val="004A51B6"/>
    <w:rsid w:val="004D1BE3"/>
    <w:rsid w:val="004E62A2"/>
    <w:rsid w:val="00510CF8"/>
    <w:rsid w:val="00517281"/>
    <w:rsid w:val="00566EBB"/>
    <w:rsid w:val="00575A29"/>
    <w:rsid w:val="005E7392"/>
    <w:rsid w:val="005E76AB"/>
    <w:rsid w:val="00601754"/>
    <w:rsid w:val="00687DCE"/>
    <w:rsid w:val="006A34BE"/>
    <w:rsid w:val="006E2490"/>
    <w:rsid w:val="006F3F1C"/>
    <w:rsid w:val="007141F2"/>
    <w:rsid w:val="00753EAB"/>
    <w:rsid w:val="007561D8"/>
    <w:rsid w:val="00795378"/>
    <w:rsid w:val="00796206"/>
    <w:rsid w:val="007C367E"/>
    <w:rsid w:val="008071C5"/>
    <w:rsid w:val="00813BD6"/>
    <w:rsid w:val="00885F82"/>
    <w:rsid w:val="008B5F30"/>
    <w:rsid w:val="008C26F8"/>
    <w:rsid w:val="00906D34"/>
    <w:rsid w:val="00933DC9"/>
    <w:rsid w:val="00936D4C"/>
    <w:rsid w:val="009523F9"/>
    <w:rsid w:val="00961D38"/>
    <w:rsid w:val="009650DF"/>
    <w:rsid w:val="009816C3"/>
    <w:rsid w:val="009B1CBB"/>
    <w:rsid w:val="009B6356"/>
    <w:rsid w:val="009E2475"/>
    <w:rsid w:val="00A0516D"/>
    <w:rsid w:val="00A24D87"/>
    <w:rsid w:val="00A43910"/>
    <w:rsid w:val="00AB63BB"/>
    <w:rsid w:val="00AC7C2E"/>
    <w:rsid w:val="00B37272"/>
    <w:rsid w:val="00B4721D"/>
    <w:rsid w:val="00B8473A"/>
    <w:rsid w:val="00B91B22"/>
    <w:rsid w:val="00BA5A82"/>
    <w:rsid w:val="00BC5EDE"/>
    <w:rsid w:val="00C21815"/>
    <w:rsid w:val="00C315D2"/>
    <w:rsid w:val="00C33F96"/>
    <w:rsid w:val="00C353D8"/>
    <w:rsid w:val="00C378DA"/>
    <w:rsid w:val="00C5264F"/>
    <w:rsid w:val="00CC1797"/>
    <w:rsid w:val="00CF5A91"/>
    <w:rsid w:val="00D02BB1"/>
    <w:rsid w:val="00D054CF"/>
    <w:rsid w:val="00D20655"/>
    <w:rsid w:val="00D209ED"/>
    <w:rsid w:val="00D2267E"/>
    <w:rsid w:val="00D45A74"/>
    <w:rsid w:val="00D60CEE"/>
    <w:rsid w:val="00D7428F"/>
    <w:rsid w:val="00D9714E"/>
    <w:rsid w:val="00DA5858"/>
    <w:rsid w:val="00DF0FB8"/>
    <w:rsid w:val="00E45F39"/>
    <w:rsid w:val="00EC2AA6"/>
    <w:rsid w:val="00EC3746"/>
    <w:rsid w:val="00EC55E9"/>
    <w:rsid w:val="00ED379A"/>
    <w:rsid w:val="00F539FB"/>
    <w:rsid w:val="00F85528"/>
    <w:rsid w:val="00FC300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4:defaultImageDpi w14:val="32767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D379A"/>
    <w:rPr>
      <w:color w:val="467886" w:themeColor="hyperlink"/>
      <w:u w:val="single"/>
    </w:rPr>
  </w:style>
  <w:style w:type="paragraph" w:styleId="af">
    <w:name w:val="Revision"/>
    <w:hidden/>
    <w:uiPriority w:val="99"/>
    <w:semiHidden/>
    <w:rsid w:val="008C26F8"/>
    <w:pPr>
      <w:spacing w:after="0" w:line="240" w:lineRule="auto"/>
    </w:pPr>
  </w:style>
  <w:style w:type="table" w:styleId="af0">
    <w:name w:val="Table Grid"/>
    <w:basedOn w:val="a1"/>
    <w:uiPriority w:val="39"/>
    <w:rsid w:val="00517281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379</Words>
  <Characters>2509</Characters>
  <Application>Microsoft Office Word</Application>
  <DocSecurity>0</DocSecurity>
  <Lines>52</Lines>
  <Paragraphs>14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依洋 吴</cp:lastModifiedBy>
  <cp:revision>49</cp:revision>
  <dcterms:created xsi:type="dcterms:W3CDTF">2025-03-11T02:17:00Z</dcterms:created>
  <dcterms:modified xsi:type="dcterms:W3CDTF">2025-04-10T07:14:00Z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