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9334" w14:textId="77777777" w:rsidR="00E85873" w:rsidRDefault="002C7415" w:rsidP="5E2C5F31">
      <w:pPr>
        <w:spacing w:after="0" w:line="240" w:lineRule="auto"/>
        <w:rPr>
          <w:rFonts w:ascii="Arial" w:eastAsia="等线" w:hAnsi="Arial" w:cs="Calibri"/>
          <w:b/>
          <w:bCs/>
          <w:kern w:val="0"/>
          <w:lang w:val="en-US" w:eastAsia="zh-CN"/>
          <w14:ligatures w14:val="none"/>
        </w:rPr>
      </w:pPr>
      <w:r>
        <w:rPr>
          <w:rFonts w:ascii="Arial" w:eastAsia="等线" w:hAnsi="Arial" w:cs="Calibri" w:hint="eastAsia"/>
          <w:b/>
          <w:bCs/>
          <w:kern w:val="0"/>
          <w:lang w:val="en-US" w:eastAsia="zh-CN"/>
          <w14:ligatures w14:val="none"/>
        </w:rPr>
        <w:t xml:space="preserve">Bispecific TCR-directed Macrophage Engager (BiTME): </w:t>
      </w:r>
    </w:p>
    <w:p w14:paraId="2826F1B9" w14:textId="0917CACB" w:rsidR="00C315D2" w:rsidRPr="002C7415" w:rsidRDefault="008839F4" w:rsidP="5E2C5F31">
      <w:pPr>
        <w:spacing w:after="0" w:line="240" w:lineRule="auto"/>
        <w:rPr>
          <w:rFonts w:ascii="Arial" w:eastAsia="等线" w:hAnsi="Arial" w:cs="Calibri"/>
          <w:b/>
          <w:bCs/>
          <w:kern w:val="0"/>
          <w:lang w:val="en-US" w:eastAsia="zh-CN"/>
          <w14:ligatures w14:val="none"/>
        </w:rPr>
      </w:pPr>
      <w:r w:rsidRPr="008839F4">
        <w:rPr>
          <w:rFonts w:ascii="Arial" w:eastAsia="等线" w:hAnsi="Arial" w:cs="Calibri"/>
          <w:b/>
          <w:bCs/>
          <w:kern w:val="0"/>
          <w:lang w:val="en-US" w:eastAsia="zh-CN"/>
          <w14:ligatures w14:val="none"/>
        </w:rPr>
        <w:t>Harnessing Adaptive TCR Specificity and Innate Macrophage Cytotoxicity for Precision</w:t>
      </w:r>
      <w:r w:rsidR="00237E14">
        <w:rPr>
          <w:rFonts w:ascii="Arial" w:eastAsia="等线" w:hAnsi="Arial" w:cs="Calibri" w:hint="eastAsia"/>
          <w:b/>
          <w:bCs/>
          <w:kern w:val="0"/>
          <w:lang w:val="en-US" w:eastAsia="zh-CN"/>
          <w14:ligatures w14:val="none"/>
        </w:rPr>
        <w:t xml:space="preserve"> </w:t>
      </w:r>
      <w:r w:rsidRPr="008839F4">
        <w:rPr>
          <w:rFonts w:ascii="Arial" w:eastAsia="等线" w:hAnsi="Arial" w:cs="Calibri"/>
          <w:b/>
          <w:bCs/>
          <w:kern w:val="0"/>
          <w:lang w:val="en-US" w:eastAsia="zh-CN"/>
          <w14:ligatures w14:val="none"/>
        </w:rPr>
        <w:t>Immunotherapy of Immunosuppressive Solid Tumors</w:t>
      </w:r>
    </w:p>
    <w:p w14:paraId="79141BD9" w14:textId="7739870E" w:rsidR="00C315D2" w:rsidRPr="00C315D2" w:rsidRDefault="00C81CD7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等线" w:hAnsi="Arial" w:cs="Calibri" w:hint="eastAsia"/>
          <w:b/>
          <w:kern w:val="0"/>
          <w:sz w:val="20"/>
          <w:szCs w:val="20"/>
          <w:u w:val="single"/>
          <w:lang w:eastAsia="zh-CN"/>
          <w14:ligatures w14:val="none"/>
        </w:rPr>
        <w:t>Jiaqi Zhao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Liqiang</w:t>
      </w:r>
      <w:proofErr w:type="spellEnd"/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Pan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47D76891" w14:textId="6A5BCB33" w:rsidR="00C315D2" w:rsidRPr="00FE4D9B" w:rsidRDefault="00C81CD7" w:rsidP="4FE71DF4">
      <w:pPr>
        <w:spacing w:after="0" w:line="240" w:lineRule="auto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College of Pharmaceutical Sciences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Zhejiang University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Hangzhou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等线" w:hAnsi="Arial" w:cs="Calibri" w:hint="eastAsia"/>
          <w:kern w:val="0"/>
          <w:sz w:val="20"/>
          <w:szCs w:val="20"/>
          <w:lang w:eastAsia="zh-CN"/>
          <w14:ligatures w14:val="none"/>
        </w:rPr>
        <w:t>Zhejiang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China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2998F9A7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D1CD3" w:rsidRPr="004D1CD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Neoantigens presented as peptide-human leukocyte antigen complexes (pHLA) on malignant cells serve as precise targets for </w:t>
      </w:r>
      <w:proofErr w:type="spellStart"/>
      <w:r w:rsidR="008839F4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>tumor</w:t>
      </w:r>
      <w:proofErr w:type="spellEnd"/>
      <w:r w:rsidR="008839F4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4D1CD3" w:rsidRPr="004D1CD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immunotherapy.</w:t>
      </w:r>
      <w:r w:rsidR="00DD54F9" w:rsidRPr="00DD54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While T cell receptor (TCR)-pHLA binding enables intracellular mutation recognition, T cell-dependent cytotoxicity in solid tumors remains limited by infiltration barriers and functional exhaustion. Macrophages, however, exhibit </w:t>
      </w:r>
      <w:r w:rsidR="00B7271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tumor</w:t>
      </w:r>
      <w:r w:rsidR="00490CB5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B7271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infiltrative</w:t>
      </w:r>
      <w:r w:rsidR="00DD54F9" w:rsidRPr="00DD54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capacity and microenvironment modulating potential. Here, we propose a bispecific TCR-directed macrophage engager (BiTME), which decouples TCR-pHLA recognition from T</w:t>
      </w:r>
      <w:r w:rsidR="00DD54F9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DD54F9" w:rsidRPr="00DD54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cell effector functions, utilizing macrophage homing capacity to penetrate tumor microenvironments (TME)</w:t>
      </w:r>
      <w:r w:rsidR="00B72716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and</w:t>
      </w:r>
      <w:r w:rsidR="00B72716" w:rsidRPr="00B72716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 eliminate tumor cells through phagocytic activity</w:t>
      </w:r>
      <w:r w:rsidR="00DD54F9" w:rsidRPr="00DD54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65B20361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bookmarkStart w:id="0" w:name="_Hlk198732573"/>
      <w:r w:rsidR="005850A2" w:rsidRPr="005850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BiTME was expressed in HEK293F cells. </w:t>
      </w:r>
      <w:r w:rsidR="002E3CDF" w:rsidRPr="002E3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Functional activity was assessed via phagocytosis assays using human monocyte-derived macrophages.</w:t>
      </w:r>
      <w:r w:rsidR="002E3CDF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5850A2" w:rsidRPr="005850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Bulk RNA sequencing </w:t>
      </w:r>
      <w:r w:rsidR="008839F4">
        <w:rPr>
          <w:rFonts w:ascii="Arial" w:eastAsia="Calibri" w:hAnsi="Arial" w:cs="Calibri"/>
          <w:bCs/>
          <w:kern w:val="0"/>
          <w:sz w:val="20"/>
          <w:szCs w:val="20"/>
          <w:lang w:eastAsia="zh-CN"/>
          <w14:ligatures w14:val="none"/>
        </w:rPr>
        <w:t>was</w:t>
      </w:r>
      <w:r w:rsidR="008839F4">
        <w:rPr>
          <w:rFonts w:ascii="Arial" w:eastAsia="Calibri" w:hAnsi="Arial" w:cs="Calibri"/>
          <w:bCs/>
          <w:kern w:val="0"/>
          <w:sz w:val="20"/>
          <w:szCs w:val="20"/>
          <w:lang w:val="en-US" w:eastAsia="zh-CN"/>
          <w14:ligatures w14:val="none"/>
        </w:rPr>
        <w:t xml:space="preserve"> used to </w:t>
      </w:r>
      <w:proofErr w:type="spellStart"/>
      <w:r w:rsidR="005850A2" w:rsidRPr="005850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analyze</w:t>
      </w:r>
      <w:proofErr w:type="spellEnd"/>
      <w:r w:rsidR="005850A2" w:rsidRPr="005850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transcriptomic changes and </w:t>
      </w:r>
      <w:r w:rsidR="008839F4" w:rsidRPr="005850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signalling</w:t>
      </w:r>
      <w:r w:rsidR="005850A2" w:rsidRPr="005850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pathways post</w:t>
      </w:r>
      <w:r w:rsidR="008839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850A2" w:rsidRPr="005850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treatment. </w:t>
      </w:r>
      <w:r w:rsidR="007412E3" w:rsidRPr="007412E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vivo antitumor efficacy was evaluated in NSG mice engrafted with exogenously infused human macrophages or </w:t>
      </w:r>
      <w:r w:rsidR="007412E3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PBMCs.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bookmarkEnd w:id="0"/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72B43094" w:rsidR="00C315D2" w:rsidRPr="00C315D2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FF11FE" w:rsidRPr="00FF11F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BiTME effectively redirected macrophages to specifically eliminate neoantigen-expressing tumor cells, significantly enhancing tumor cell phagocytosis in vitro. Bulk RNA sequencing demonstrated enriched endocytosis and antigen presentation pathways in macrophages, with upregulated HLA-G transcripts. Notably, while membrane-bound HLA-G expression on tumor cells remained unchanged, macrophage surface HLA-G was downregulated. In contrast, soluble HLA-G levels were significantly elevated in co-culture systems. As HLA-G binding to ILT2/ILT4 receptors on immune cells suppresses antitumor immunity, combining BiTME with ILT2/</w:t>
      </w:r>
      <w:r w:rsidR="00FF11FE">
        <w:rPr>
          <w:rFonts w:ascii="Arial" w:eastAsia="等线" w:hAnsi="Arial" w:cs="Calibri" w:hint="eastAsia"/>
          <w:kern w:val="0"/>
          <w:sz w:val="20"/>
          <w:szCs w:val="20"/>
          <w:lang w:val="en-US" w:eastAsia="zh-CN"/>
          <w14:ligatures w14:val="none"/>
        </w:rPr>
        <w:t>ILT</w:t>
      </w:r>
      <w:r w:rsidR="00FF11FE" w:rsidRPr="00FF11F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4 blocking antibodies further enhanced tumor killing. In tumor-bearing NSG mice reconstituted with exogenous macrophages or PBMCs, BiTME treatment demonstrated enhanced antitumor efficacy and prolonged survival</w:t>
      </w:r>
      <w:r w:rsidR="00C315D2" w:rsidRPr="2021B9E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</w:p>
    <w:p w14:paraId="7A6A1625" w14:textId="1C462204" w:rsidR="00C315D2" w:rsidRPr="00433A44" w:rsidRDefault="00433A44" w:rsidP="00440298">
      <w:pPr>
        <w:spacing w:after="0" w:line="240" w:lineRule="auto"/>
        <w:jc w:val="center"/>
        <w:rPr>
          <w:rFonts w:ascii="Arial" w:eastAsia="等线" w:hAnsi="Arial" w:cs="Calibri"/>
          <w:sz w:val="20"/>
          <w:szCs w:val="20"/>
          <w:lang w:val="en-US" w:eastAsia="zh-CN"/>
        </w:rPr>
      </w:pPr>
      <w:r>
        <w:rPr>
          <w:rFonts w:ascii="Arial" w:eastAsia="等线" w:hAnsi="Arial" w:cs="Calibri"/>
          <w:noProof/>
          <w:sz w:val="20"/>
          <w:szCs w:val="20"/>
          <w:lang w:val="en-US" w:eastAsia="zh-CN"/>
        </w:rPr>
        <w:drawing>
          <wp:inline distT="0" distB="0" distL="0" distR="0" wp14:anchorId="4993AE02" wp14:editId="4841C2ED">
            <wp:extent cx="5353050" cy="2658562"/>
            <wp:effectExtent l="0" t="0" r="0" b="8890"/>
            <wp:docPr id="8058015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01504" name="图片 80580150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" t="6479" r="17904" b="40249"/>
                    <a:stretch/>
                  </pic:blipFill>
                  <pic:spPr bwMode="auto">
                    <a:xfrm>
                      <a:off x="0" y="0"/>
                      <a:ext cx="5387714" cy="2675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7E0D1" w14:textId="4B4D8C14" w:rsidR="004D6CF5" w:rsidRPr="004D6CF5" w:rsidRDefault="00C315D2" w:rsidP="00433A44">
      <w:pPr>
        <w:spacing w:after="0" w:line="240" w:lineRule="auto"/>
        <w:jc w:val="center"/>
        <w:rPr>
          <w:rFonts w:ascii="Arial" w:eastAsia="等线" w:hAnsi="Arial" w:cs="Calibri"/>
          <w:kern w:val="0"/>
          <w:sz w:val="20"/>
          <w:szCs w:val="20"/>
          <w:lang w:val="en-GB" w:eastAsia="zh-CN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>Figure 1.</w:t>
      </w:r>
      <w:r w:rsidR="0088071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 w:rsidR="00490CB5">
        <w:rPr>
          <w:rFonts w:ascii="Arial" w:eastAsia="等线" w:hAnsi="Arial" w:cs="Calibri" w:hint="eastAsia"/>
          <w:kern w:val="0"/>
          <w:sz w:val="20"/>
          <w:szCs w:val="20"/>
          <w:lang w:val="en-GB" w:eastAsia="zh-CN"/>
          <w14:ligatures w14:val="none"/>
        </w:rPr>
        <w:t>Mechanism of action of BiTME</w:t>
      </w:r>
      <w:r w:rsidR="00936D4C" w:rsidRPr="2021B9E9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.</w:t>
      </w:r>
    </w:p>
    <w:p w14:paraId="65E846CD" w14:textId="79389593" w:rsidR="00C315D2" w:rsidRPr="007412E3" w:rsidRDefault="00B8473A" w:rsidP="00C95A7F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95A7F" w:rsidRPr="00C95A7F">
        <w:t xml:space="preserve"> </w:t>
      </w:r>
      <w:r w:rsidR="004D6CF5" w:rsidRPr="004D6C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Genomic advances in high-throughput sequencing and machine learning empower precise neoantigen discovery. BiTME bridges intracellular neoantigen targeting with macrophage phagocytosis and TME </w:t>
      </w:r>
      <w:r w:rsidR="008839F4" w:rsidRPr="004D6C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remodelling</w:t>
      </w:r>
      <w:r w:rsidR="004D6CF5" w:rsidRPr="004D6C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offering a multi-omics-integrated platform for resistant solid tumors. While preclinical models demonstrate therapeutic potential, clinical translation requires further validation of BiTME specificity and HLA-G/ILT axis modulation in autologous tumor settings. This study underscores personali</w:t>
      </w:r>
      <w:r w:rsidR="005158FC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s</w:t>
      </w:r>
      <w:r w:rsidR="004D6CF5" w:rsidRPr="004D6C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ed immunotherapy through genomic-driven macrophage engagement, aligning precision oncology with immune microenvironment reprogramming.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5D017233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86D08" w:rsidRPr="00C86D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This work was supported by the research infrastructure and expertise of the </w:t>
      </w:r>
      <w:r w:rsidR="008839F4" w:rsidRPr="00C86D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Laboratory</w:t>
      </w:r>
      <w:r w:rsidR="008839F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of </w:t>
      </w:r>
      <w:r w:rsidR="00C86D08" w:rsidRPr="00C86D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Precision Medicine and Bio</w:t>
      </w:r>
      <w:r w:rsidR="008839F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</w:t>
      </w:r>
      <w:r w:rsidR="00C86D08" w:rsidRPr="00C86D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harmaceuticals</w:t>
      </w:r>
      <w:r w:rsidR="008839F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</w:t>
      </w:r>
      <w:r w:rsidR="00C86D08" w:rsidRPr="00C86D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Zhejiang University.</w:t>
      </w:r>
    </w:p>
    <w:p w14:paraId="52ED77CF" w14:textId="4320CE25" w:rsidR="003523C6" w:rsidRPr="00984EE4" w:rsidRDefault="00C315D2" w:rsidP="00984EE4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4D6CF5" w:rsidRPr="004D6CF5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Jin, Shijie et al.</w:t>
      </w:r>
      <w:r w:rsidR="004D6CF5" w:rsidRPr="004D6CF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Signal transduction and targeted therapy vol. 7,1 39. 7 Feb. 2022</w:t>
      </w:r>
    </w:p>
    <w:sectPr w:rsidR="003523C6" w:rsidRPr="00984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F913E" w14:textId="77777777" w:rsidR="00803423" w:rsidRDefault="00803423" w:rsidP="00C34147">
      <w:pPr>
        <w:spacing w:after="0" w:line="240" w:lineRule="auto"/>
      </w:pPr>
      <w:r>
        <w:separator/>
      </w:r>
    </w:p>
  </w:endnote>
  <w:endnote w:type="continuationSeparator" w:id="0">
    <w:p w14:paraId="66B0C248" w14:textId="77777777" w:rsidR="00803423" w:rsidRDefault="00803423" w:rsidP="00C3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EBB57" w14:textId="77777777" w:rsidR="00803423" w:rsidRDefault="00803423" w:rsidP="00C34147">
      <w:pPr>
        <w:spacing w:after="0" w:line="240" w:lineRule="auto"/>
      </w:pPr>
      <w:r>
        <w:separator/>
      </w:r>
    </w:p>
  </w:footnote>
  <w:footnote w:type="continuationSeparator" w:id="0">
    <w:p w14:paraId="1D1AD80E" w14:textId="77777777" w:rsidR="00803423" w:rsidRDefault="00803423" w:rsidP="00C3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133F2"/>
    <w:rsid w:val="00096175"/>
    <w:rsid w:val="000B53CC"/>
    <w:rsid w:val="000E3513"/>
    <w:rsid w:val="00100374"/>
    <w:rsid w:val="00106AD4"/>
    <w:rsid w:val="00107368"/>
    <w:rsid w:val="00113BB7"/>
    <w:rsid w:val="00142178"/>
    <w:rsid w:val="00157732"/>
    <w:rsid w:val="001B4A54"/>
    <w:rsid w:val="001D5852"/>
    <w:rsid w:val="001E27E6"/>
    <w:rsid w:val="002017E6"/>
    <w:rsid w:val="00237E14"/>
    <w:rsid w:val="00294059"/>
    <w:rsid w:val="002C7415"/>
    <w:rsid w:val="002E3CDF"/>
    <w:rsid w:val="003206E4"/>
    <w:rsid w:val="00341BC5"/>
    <w:rsid w:val="003523C6"/>
    <w:rsid w:val="003A6D5C"/>
    <w:rsid w:val="0042188C"/>
    <w:rsid w:val="00433A44"/>
    <w:rsid w:val="00440298"/>
    <w:rsid w:val="004835AC"/>
    <w:rsid w:val="00490CB5"/>
    <w:rsid w:val="004A51B6"/>
    <w:rsid w:val="004D1CD3"/>
    <w:rsid w:val="004D6CF5"/>
    <w:rsid w:val="00510CF8"/>
    <w:rsid w:val="005158FC"/>
    <w:rsid w:val="00522156"/>
    <w:rsid w:val="0053207D"/>
    <w:rsid w:val="00537A44"/>
    <w:rsid w:val="00552017"/>
    <w:rsid w:val="00575A29"/>
    <w:rsid w:val="005850A2"/>
    <w:rsid w:val="005F4404"/>
    <w:rsid w:val="00601754"/>
    <w:rsid w:val="00621015"/>
    <w:rsid w:val="00647722"/>
    <w:rsid w:val="006A34BE"/>
    <w:rsid w:val="006F3F1C"/>
    <w:rsid w:val="007141F2"/>
    <w:rsid w:val="007412E3"/>
    <w:rsid w:val="007561D8"/>
    <w:rsid w:val="007615C1"/>
    <w:rsid w:val="00795378"/>
    <w:rsid w:val="00796206"/>
    <w:rsid w:val="007A3B48"/>
    <w:rsid w:val="007C367E"/>
    <w:rsid w:val="00803423"/>
    <w:rsid w:val="008071C5"/>
    <w:rsid w:val="00814714"/>
    <w:rsid w:val="00855059"/>
    <w:rsid w:val="00880719"/>
    <w:rsid w:val="008839F4"/>
    <w:rsid w:val="008E0A29"/>
    <w:rsid w:val="00906D34"/>
    <w:rsid w:val="00933DC9"/>
    <w:rsid w:val="00936D4C"/>
    <w:rsid w:val="009523F9"/>
    <w:rsid w:val="009650DF"/>
    <w:rsid w:val="00984EE4"/>
    <w:rsid w:val="0099494A"/>
    <w:rsid w:val="009B1CBB"/>
    <w:rsid w:val="00A0516D"/>
    <w:rsid w:val="00A5486D"/>
    <w:rsid w:val="00A94C63"/>
    <w:rsid w:val="00B21C3F"/>
    <w:rsid w:val="00B34CA5"/>
    <w:rsid w:val="00B4721D"/>
    <w:rsid w:val="00B72716"/>
    <w:rsid w:val="00B8473A"/>
    <w:rsid w:val="00BB6BA1"/>
    <w:rsid w:val="00C105E3"/>
    <w:rsid w:val="00C21815"/>
    <w:rsid w:val="00C315D2"/>
    <w:rsid w:val="00C34147"/>
    <w:rsid w:val="00C353D8"/>
    <w:rsid w:val="00C37096"/>
    <w:rsid w:val="00C64FAA"/>
    <w:rsid w:val="00C81CD7"/>
    <w:rsid w:val="00C86D08"/>
    <w:rsid w:val="00C923FF"/>
    <w:rsid w:val="00C95A7F"/>
    <w:rsid w:val="00CA52EB"/>
    <w:rsid w:val="00CF5A91"/>
    <w:rsid w:val="00D02BB1"/>
    <w:rsid w:val="00D0411A"/>
    <w:rsid w:val="00D45A74"/>
    <w:rsid w:val="00D7428F"/>
    <w:rsid w:val="00D752D8"/>
    <w:rsid w:val="00DD54F9"/>
    <w:rsid w:val="00E618E7"/>
    <w:rsid w:val="00E85873"/>
    <w:rsid w:val="00EC3746"/>
    <w:rsid w:val="00ED7D6D"/>
    <w:rsid w:val="00F03188"/>
    <w:rsid w:val="00F06FF9"/>
    <w:rsid w:val="00F539FB"/>
    <w:rsid w:val="00F85528"/>
    <w:rsid w:val="00FB2386"/>
    <w:rsid w:val="00FB48B9"/>
    <w:rsid w:val="00FE15B6"/>
    <w:rsid w:val="00FE4D9B"/>
    <w:rsid w:val="00FF11FE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3414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3414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3414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34147"/>
    <w:rPr>
      <w:sz w:val="18"/>
      <w:szCs w:val="18"/>
    </w:rPr>
  </w:style>
  <w:style w:type="paragraph" w:styleId="af2">
    <w:name w:val="Revision"/>
    <w:hidden/>
    <w:uiPriority w:val="99"/>
    <w:semiHidden/>
    <w:rsid w:val="00883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386</Words>
  <Characters>2814</Characters>
  <Application>Microsoft Office Word</Application>
  <DocSecurity>0</DocSecurity>
  <Lines>42</Lines>
  <Paragraphs>12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珈琦 赵</cp:lastModifiedBy>
  <cp:revision>15</cp:revision>
  <dcterms:created xsi:type="dcterms:W3CDTF">2025-05-26T01:36:00Z</dcterms:created>
  <dcterms:modified xsi:type="dcterms:W3CDTF">2025-05-26T01:48:00Z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a3b20ee8-b0c1-491c-bccc-41b8c56f9fb3</vt:lpwstr>
  </property>
</Properties>
</file>