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C9131" w14:textId="77777777" w:rsidR="00DC6273" w:rsidRDefault="2F1CA067" w:rsidP="2F1CA067">
      <w:pPr>
        <w:pStyle w:val="NoSpacing"/>
        <w:jc w:val="center"/>
        <w:rPr>
          <w:sz w:val="18"/>
          <w:szCs w:val="18"/>
        </w:rPr>
      </w:pPr>
      <w:bookmarkStart w:id="0" w:name="_GoBack"/>
      <w:bookmarkEnd w:id="0"/>
      <w:r w:rsidRPr="2F1CA067">
        <w:rPr>
          <w:sz w:val="18"/>
          <w:szCs w:val="18"/>
        </w:rPr>
        <w:t xml:space="preserve">                 Budget Impact Analysis of Biosimilar Adoption in Colorectal Cancer Treatment</w:t>
      </w:r>
    </w:p>
    <w:p w14:paraId="5E2D52A0" w14:textId="6A73FC9E" w:rsidR="2F1CA067" w:rsidRDefault="2F1CA067" w:rsidP="2F1CA067">
      <w:pPr>
        <w:pStyle w:val="NoSpacing"/>
        <w:rPr>
          <w:sz w:val="18"/>
          <w:szCs w:val="18"/>
        </w:rPr>
      </w:pPr>
    </w:p>
    <w:p w14:paraId="21505697" w14:textId="73C3CE8A" w:rsidR="2F1CA067" w:rsidRDefault="2F1CA067" w:rsidP="2F1CA067">
      <w:pPr>
        <w:pStyle w:val="NoSpacing"/>
        <w:rPr>
          <w:sz w:val="18"/>
          <w:szCs w:val="18"/>
        </w:rPr>
      </w:pPr>
    </w:p>
    <w:p w14:paraId="726C7AA1" w14:textId="76FF50B1" w:rsidR="00DC6273" w:rsidRDefault="3FB8C5E6" w:rsidP="2F1CA067">
      <w:pPr>
        <w:pStyle w:val="NoSpacing"/>
        <w:rPr>
          <w:sz w:val="18"/>
          <w:szCs w:val="18"/>
          <w:lang w:val="fr-FR"/>
        </w:rPr>
      </w:pPr>
      <w:r w:rsidRPr="2F1CA067">
        <w:rPr>
          <w:sz w:val="18"/>
          <w:szCs w:val="18"/>
          <w:lang w:val="fr-FR"/>
        </w:rPr>
        <w:t xml:space="preserve"> </w:t>
      </w:r>
      <w:r w:rsidR="2F1CA067" w:rsidRPr="2F1CA067">
        <w:rPr>
          <w:sz w:val="18"/>
          <w:szCs w:val="18"/>
          <w:lang w:val="fr-FR"/>
        </w:rPr>
        <w:t>Loga Zec S</w:t>
      </w:r>
      <w:proofErr w:type="gramStart"/>
      <w:r w:rsidR="2F1CA067" w:rsidRPr="2F1CA067">
        <w:rPr>
          <w:sz w:val="18"/>
          <w:szCs w:val="18"/>
          <w:lang w:val="fr-FR"/>
        </w:rPr>
        <w:t>1,  Selmanovic</w:t>
      </w:r>
      <w:proofErr w:type="gramEnd"/>
      <w:r w:rsidR="2F1CA067" w:rsidRPr="2F1CA067">
        <w:rPr>
          <w:sz w:val="18"/>
          <w:szCs w:val="18"/>
          <w:lang w:val="fr-FR"/>
        </w:rPr>
        <w:t xml:space="preserve"> K2,Zecevic L3  Maleskic Kapo S1  Asceric M4</w:t>
      </w:r>
    </w:p>
    <w:p w14:paraId="6F1A3586" w14:textId="77777777" w:rsidR="00DC6273" w:rsidRDefault="2F1CA067" w:rsidP="2F1CA067">
      <w:pPr>
        <w:pStyle w:val="NoSpacing"/>
        <w:rPr>
          <w:sz w:val="18"/>
          <w:szCs w:val="18"/>
        </w:rPr>
      </w:pPr>
      <w:r w:rsidRPr="2F1CA067">
        <w:rPr>
          <w:sz w:val="18"/>
          <w:szCs w:val="18"/>
        </w:rPr>
        <w:t>1Department of Pharmacology, Toxicology and Clinical Pharmacology Faculty of Medicine, University of Sarajevo, Sarajevo</w:t>
      </w:r>
      <w:proofErr w:type="gramStart"/>
      <w:r w:rsidRPr="2F1CA067">
        <w:rPr>
          <w:sz w:val="18"/>
          <w:szCs w:val="18"/>
        </w:rPr>
        <w:t>,  Bosnia</w:t>
      </w:r>
      <w:proofErr w:type="gramEnd"/>
      <w:r w:rsidRPr="2F1CA067">
        <w:rPr>
          <w:sz w:val="18"/>
          <w:szCs w:val="18"/>
        </w:rPr>
        <w:t xml:space="preserve"> and Herzegovina</w:t>
      </w:r>
    </w:p>
    <w:p w14:paraId="4C594EAA" w14:textId="77777777" w:rsidR="00DC6273" w:rsidRDefault="2F1CA067" w:rsidP="2F1CA067">
      <w:pPr>
        <w:pStyle w:val="NoSpacing"/>
        <w:rPr>
          <w:sz w:val="18"/>
          <w:szCs w:val="18"/>
        </w:rPr>
      </w:pPr>
      <w:r w:rsidRPr="2F1CA067">
        <w:rPr>
          <w:sz w:val="18"/>
          <w:szCs w:val="18"/>
        </w:rPr>
        <w:t>2Amicus Pharma, Sarajevo, Bosnia and Herzegovina</w:t>
      </w:r>
    </w:p>
    <w:p w14:paraId="732CC269" w14:textId="77777777" w:rsidR="00DC6273" w:rsidRDefault="2F1CA067" w:rsidP="2F1CA067">
      <w:pPr>
        <w:pStyle w:val="NoSpacing"/>
        <w:rPr>
          <w:sz w:val="18"/>
          <w:szCs w:val="18"/>
        </w:rPr>
      </w:pPr>
      <w:r w:rsidRPr="2F1CA067">
        <w:rPr>
          <w:sz w:val="18"/>
          <w:szCs w:val="18"/>
        </w:rPr>
        <w:t>3 Institute of Clinical Immunology, Clinical Center University of Sarajevo, Sarajevo</w:t>
      </w:r>
      <w:proofErr w:type="gramStart"/>
      <w:r w:rsidRPr="2F1CA067">
        <w:rPr>
          <w:sz w:val="18"/>
          <w:szCs w:val="18"/>
        </w:rPr>
        <w:t>,  Bosnia</w:t>
      </w:r>
      <w:proofErr w:type="gramEnd"/>
      <w:r w:rsidRPr="2F1CA067">
        <w:rPr>
          <w:sz w:val="18"/>
          <w:szCs w:val="18"/>
        </w:rPr>
        <w:t xml:space="preserve"> and Herzegovina</w:t>
      </w:r>
    </w:p>
    <w:p w14:paraId="7D55DE3C" w14:textId="77777777" w:rsidR="00DC6273" w:rsidRDefault="2F1CA067" w:rsidP="2F1CA067">
      <w:pPr>
        <w:pStyle w:val="NoSpacing"/>
        <w:rPr>
          <w:sz w:val="18"/>
          <w:szCs w:val="18"/>
        </w:rPr>
      </w:pPr>
      <w:proofErr w:type="gramStart"/>
      <w:r w:rsidRPr="2F1CA067">
        <w:rPr>
          <w:sz w:val="18"/>
          <w:szCs w:val="18"/>
        </w:rPr>
        <w:t>4</w:t>
      </w:r>
      <w:proofErr w:type="gramEnd"/>
      <w:r w:rsidRPr="2F1CA067">
        <w:rPr>
          <w:sz w:val="18"/>
          <w:szCs w:val="18"/>
        </w:rPr>
        <w:t xml:space="preserve"> Department of Pharmacology and Toxicology, Faculty of Medicine, University of Tuzla, Tuzla, Bosnia and Herzegovina</w:t>
      </w:r>
    </w:p>
    <w:p w14:paraId="2CF165C5" w14:textId="2AC1DC84" w:rsidR="2F1CA067" w:rsidRDefault="2F1CA067" w:rsidP="2F1CA067">
      <w:pPr>
        <w:pStyle w:val="NoSpacing"/>
        <w:rPr>
          <w:sz w:val="18"/>
          <w:szCs w:val="18"/>
        </w:rPr>
      </w:pPr>
    </w:p>
    <w:p w14:paraId="7897D4DE" w14:textId="6B7B7AF7" w:rsidR="00DC6273" w:rsidRDefault="0C377A2D" w:rsidP="2F1CA067">
      <w:pPr>
        <w:pStyle w:val="NoSpacing"/>
        <w:rPr>
          <w:sz w:val="18"/>
          <w:szCs w:val="18"/>
        </w:rPr>
      </w:pPr>
      <w:r w:rsidRPr="2F1CA067">
        <w:rPr>
          <w:sz w:val="18"/>
          <w:szCs w:val="18"/>
        </w:rPr>
        <w:t xml:space="preserve">Introduction: Colorectal cancer (CRC) is among the most common malignancies globally, with increasing incidence in developing countries due to lifestyle changes and aging populations. The introduction of biosimilar medicines represents an important health policy </w:t>
      </w:r>
      <w:proofErr w:type="gramStart"/>
      <w:r w:rsidRPr="2F1CA067">
        <w:rPr>
          <w:sz w:val="18"/>
          <w:szCs w:val="18"/>
        </w:rPr>
        <w:t>strategy  for</w:t>
      </w:r>
      <w:proofErr w:type="gramEnd"/>
      <w:r w:rsidRPr="2F1CA067">
        <w:rPr>
          <w:sz w:val="18"/>
          <w:szCs w:val="18"/>
        </w:rPr>
        <w:t xml:space="preserve"> cost containment while maintaining therapeutic standards. Analysis of treatment coverage and expenditure trends provides essential evidence for policy and reimbursement decision-making</w:t>
      </w:r>
    </w:p>
    <w:p w14:paraId="3702FBC2" w14:textId="3843D74D" w:rsidR="00DC6273" w:rsidRDefault="00DC6273" w:rsidP="2F1CA067">
      <w:pPr>
        <w:pStyle w:val="NoSpacing"/>
        <w:rPr>
          <w:sz w:val="18"/>
          <w:szCs w:val="18"/>
        </w:rPr>
      </w:pPr>
    </w:p>
    <w:p w14:paraId="5034EFD7" w14:textId="684B8F97" w:rsidR="00DC6273" w:rsidRDefault="2F1CA067" w:rsidP="2F1CA067">
      <w:pPr>
        <w:pStyle w:val="NoSpacing"/>
        <w:rPr>
          <w:sz w:val="18"/>
          <w:szCs w:val="18"/>
        </w:rPr>
      </w:pPr>
      <w:r w:rsidRPr="2F1CA067">
        <w:rPr>
          <w:sz w:val="18"/>
          <w:szCs w:val="18"/>
        </w:rPr>
        <w:t xml:space="preserve">Aims </w:t>
      </w:r>
      <w:proofErr w:type="gramStart"/>
      <w:r w:rsidRPr="2F1CA067">
        <w:rPr>
          <w:sz w:val="18"/>
          <w:szCs w:val="18"/>
        </w:rPr>
        <w:t>The</w:t>
      </w:r>
      <w:proofErr w:type="gramEnd"/>
      <w:r w:rsidRPr="2F1CA067">
        <w:rPr>
          <w:sz w:val="18"/>
          <w:szCs w:val="18"/>
        </w:rPr>
        <w:t xml:space="preserve"> study aimed to show differences in the costs of colorectal cancer treatment between the use of originator drugs and biosimilars. </w:t>
      </w:r>
    </w:p>
    <w:p w14:paraId="0CD57444" w14:textId="7E79639D" w:rsidR="2F1CA067" w:rsidRDefault="2F1CA067" w:rsidP="2F1CA067">
      <w:pPr>
        <w:pStyle w:val="NoSpacing"/>
        <w:rPr>
          <w:sz w:val="18"/>
          <w:szCs w:val="18"/>
        </w:rPr>
      </w:pPr>
    </w:p>
    <w:p w14:paraId="6E967192" w14:textId="77777777" w:rsidR="00DC6273" w:rsidRDefault="2F1CA067" w:rsidP="2F1CA067">
      <w:pPr>
        <w:pStyle w:val="NoSpacing"/>
        <w:rPr>
          <w:sz w:val="18"/>
          <w:szCs w:val="18"/>
        </w:rPr>
      </w:pPr>
      <w:r w:rsidRPr="2F1CA067">
        <w:rPr>
          <w:sz w:val="18"/>
          <w:szCs w:val="18"/>
        </w:rPr>
        <w:t xml:space="preserve">Methods:  A retrospective–prospective, comparative analysis </w:t>
      </w:r>
      <w:proofErr w:type="gramStart"/>
      <w:r w:rsidRPr="2F1CA067">
        <w:rPr>
          <w:sz w:val="18"/>
          <w:szCs w:val="18"/>
        </w:rPr>
        <w:t>was conducted</w:t>
      </w:r>
      <w:proofErr w:type="gramEnd"/>
      <w:r w:rsidRPr="2F1CA067">
        <w:rPr>
          <w:sz w:val="18"/>
          <w:szCs w:val="18"/>
        </w:rPr>
        <w:t xml:space="preserve"> using data obtained from the IMS (Intercontinental Marketing Service) database. The utilization of originator and biosimilar bevacizumab in CRC therapy </w:t>
      </w:r>
      <w:proofErr w:type="gramStart"/>
      <w:r w:rsidRPr="2F1CA067">
        <w:rPr>
          <w:sz w:val="18"/>
          <w:szCs w:val="18"/>
        </w:rPr>
        <w:t>was analyzed</w:t>
      </w:r>
      <w:proofErr w:type="gramEnd"/>
      <w:r w:rsidRPr="2F1CA067">
        <w:rPr>
          <w:sz w:val="18"/>
          <w:szCs w:val="18"/>
        </w:rPr>
        <w:t xml:space="preserve"> over a five-year period (January 2020–December 2024). </w:t>
      </w:r>
    </w:p>
    <w:p w14:paraId="203BB884" w14:textId="41F9F012" w:rsidR="2F1CA067" w:rsidRDefault="2F1CA067" w:rsidP="2F1CA067">
      <w:pPr>
        <w:pStyle w:val="NoSpacing"/>
        <w:rPr>
          <w:sz w:val="18"/>
          <w:szCs w:val="18"/>
        </w:rPr>
      </w:pPr>
    </w:p>
    <w:p w14:paraId="2BC62894" w14:textId="768F0C40" w:rsidR="00DC6273" w:rsidRDefault="2F1CA067" w:rsidP="2F1CA067">
      <w:pPr>
        <w:pStyle w:val="NoSpacing"/>
        <w:rPr>
          <w:sz w:val="18"/>
          <w:szCs w:val="18"/>
        </w:rPr>
      </w:pPr>
      <w:r w:rsidRPr="2F1CA067">
        <w:rPr>
          <w:sz w:val="18"/>
          <w:szCs w:val="18"/>
        </w:rPr>
        <w:t>Results:  During the pre-biosimilar period (2020–mid-2022), treatment relied exclusively on the originator biologic, covering 691 patients, with total expenditure exceeding €13.8 million and an average monthly cost per patient of €608.17. Following biosimilar introduction in 2022, treatment coverage increased to 1,169 patients. Despite increased utilization, overall expenditure remained stable at approximately €13.4 million. The average cost per patient decreased to €329.64, indicating improved allocative efficiency and expanded access within a fixed oncology budget.</w:t>
      </w:r>
    </w:p>
    <w:p w14:paraId="42B87116" w14:textId="5206D2EE" w:rsidR="00DC6273" w:rsidRDefault="00DC6273" w:rsidP="2F1CA067">
      <w:pPr>
        <w:pStyle w:val="NoSpacing"/>
        <w:rPr>
          <w:sz w:val="18"/>
          <w:szCs w:val="18"/>
        </w:rPr>
      </w:pPr>
    </w:p>
    <w:p w14:paraId="5AF60265" w14:textId="42BFBF7F" w:rsidR="00DC6273" w:rsidRDefault="2F1CA067" w:rsidP="2F1CA067">
      <w:pPr>
        <w:pStyle w:val="NoSpacing"/>
        <w:rPr>
          <w:sz w:val="18"/>
          <w:szCs w:val="18"/>
        </w:rPr>
      </w:pPr>
      <w:r w:rsidRPr="2F1CA067">
        <w:rPr>
          <w:sz w:val="18"/>
          <w:szCs w:val="18"/>
        </w:rPr>
        <w:t>Keywords: colorectal cancer, bevacizumab, pharmacoeconomic</w:t>
      </w:r>
    </w:p>
    <w:p w14:paraId="5DAB6C7B" w14:textId="77777777" w:rsidR="00DC6273" w:rsidRDefault="00DC6273"/>
    <w:sectPr w:rsidR="00DC6273" w:rsidSect="00034616">
      <w:pgSz w:w="11906" w:h="8391" w:orient="landscape"/>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DC6273"/>
    <w:rsid w:val="00E25DED"/>
    <w:rsid w:val="00FC693F"/>
    <w:rsid w:val="0C377A2D"/>
    <w:rsid w:val="2F1CA067"/>
    <w:rsid w:val="3FB8C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5306981-D0AE-44E5-9CF3-D3095FF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3E28-70C2-4A24-8F56-FDFC8A7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Svjetlana Loga</cp:lastModifiedBy>
  <cp:revision>2</cp:revision>
  <dcterms:created xsi:type="dcterms:W3CDTF">2026-01-29T10:16:00Z</dcterms:created>
  <dcterms:modified xsi:type="dcterms:W3CDTF">2026-01-29T10:16:00Z</dcterms:modified>
  <cp:category/>
</cp:coreProperties>
</file>