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18D3" w14:textId="77777777" w:rsidR="0084562F" w:rsidRDefault="003C2D94" w:rsidP="00527B44">
      <w:pPr>
        <w:spacing w:after="0" w:line="240" w:lineRule="auto"/>
        <w:jc w:val="center"/>
        <w:rPr>
          <w:rFonts w:ascii="Arial" w:eastAsia="Calibri" w:hAnsi="Arial" w:cs="Calibri"/>
          <w:b/>
          <w:bCs/>
          <w:kern w:val="0"/>
          <w:lang w:val="en-US"/>
          <w14:ligatures w14:val="none"/>
        </w:rPr>
      </w:pPr>
      <w:r w:rsidRPr="003C2D94">
        <w:rPr>
          <w:rFonts w:ascii="Arial" w:eastAsia="Calibri" w:hAnsi="Arial" w:cs="Calibri"/>
          <w:b/>
          <w:bCs/>
          <w:kern w:val="0"/>
          <w:lang w:val="en-US"/>
          <w14:ligatures w14:val="none"/>
        </w:rPr>
        <w:t>Population pharmacokinetics of penicillin G: insights into in-creased clearance at low concentrations to guide development of improved long-acting formulations for syphilis and prevention of rheumatic fever</w:t>
      </w:r>
    </w:p>
    <w:p w14:paraId="79141BD9" w14:textId="3287C7B0" w:rsidR="00C315D2" w:rsidRPr="00D231C9" w:rsidRDefault="00FE357C" w:rsidP="00D231C9">
      <w:pPr>
        <w:pStyle w:val="NoSpacing"/>
        <w:rPr>
          <w:rFonts w:ascii="Arial" w:hAnsi="Arial" w:cs="Arial"/>
          <w:sz w:val="20"/>
          <w:szCs w:val="20"/>
        </w:rPr>
      </w:pPr>
      <w:r w:rsidRPr="00D231C9">
        <w:rPr>
          <w:rFonts w:ascii="Arial" w:hAnsi="Arial" w:cs="Arial"/>
          <w:b/>
          <w:bCs/>
          <w:sz w:val="20"/>
          <w:szCs w:val="20"/>
          <w:u w:val="single"/>
        </w:rPr>
        <w:t>Okhee Yoo</w:t>
      </w:r>
      <w:r w:rsidRPr="00DD10DB">
        <w:rPr>
          <w:rFonts w:ascii="Arial" w:hAnsi="Arial" w:cs="Arial"/>
          <w:sz w:val="20"/>
          <w:szCs w:val="20"/>
        </w:rPr>
        <w:t>¹</w:t>
      </w:r>
      <w:r w:rsidR="00DD10DB" w:rsidRPr="00DD10DB">
        <w:rPr>
          <w:rFonts w:ascii="Arial" w:hAnsi="Arial" w:cs="Arial"/>
          <w:sz w:val="20"/>
          <w:szCs w:val="20"/>
        </w:rPr>
        <w:t>,</w:t>
      </w:r>
      <w:r w:rsidRPr="00DD10DB">
        <w:rPr>
          <w:rFonts w:ascii="Arial" w:hAnsi="Arial" w:cs="Arial"/>
          <w:sz w:val="20"/>
          <w:szCs w:val="20"/>
        </w:rPr>
        <w:t xml:space="preserve">²,³ </w:t>
      </w:r>
      <w:r w:rsidRPr="00D231C9">
        <w:rPr>
          <w:rFonts w:ascii="Arial" w:hAnsi="Arial" w:cs="Arial"/>
          <w:sz w:val="20"/>
          <w:szCs w:val="20"/>
        </w:rPr>
        <w:t>· Sam Salman¹,⁴,⁵ · Thel K. Hla¹,⁴,⁶ · Joshua Osowicki⁷,⁸,⁹ · Madhu Page-Sharp¹⁰ · Julie A. Marsh¹,⁴ · Renae Barr¹ · Kristy Azzopardi⁷ · Michael Morici¹ · Kevin T. Batty¹⁰,¹¹ · Stephanie L. Enkel¹,⁴ · Joseph Kado¹,⁴ · Lara Hatchuel¹² · Alma Fulurija¹ · James S. McCarthy¹³ · Thomas L. Snelling¹⁴ · Andrew C. Steer⁷,⁸,⁹ · Jonathan Carapetis¹,⁴,¹⁵ · Laurens Manning¹,⁴,⁶</w:t>
      </w:r>
    </w:p>
    <w:p w14:paraId="47D76891" w14:textId="17888D8F" w:rsidR="00C315D2" w:rsidRPr="004210CC" w:rsidRDefault="004637C2" w:rsidP="4FE71DF4">
      <w:pPr>
        <w:spacing w:after="0" w:line="240" w:lineRule="auto"/>
        <w:rPr>
          <w:rFonts w:ascii="Arial" w:eastAsia="Calibri" w:hAnsi="Arial" w:cs="Calibri"/>
          <w:bCs/>
          <w:kern w:val="0"/>
          <w:sz w:val="20"/>
          <w:szCs w:val="20"/>
          <w14:ligatures w14:val="none"/>
        </w:rPr>
      </w:pPr>
      <w:r w:rsidRPr="004210CC">
        <w:rPr>
          <w:rFonts w:ascii="Arial" w:hAnsi="Arial" w:cs="Arial"/>
          <w:color w:val="000000"/>
          <w:kern w:val="24"/>
          <w:sz w:val="20"/>
          <w:szCs w:val="20"/>
        </w:rPr>
        <w:t xml:space="preserve">¹ Wesfarmers Centre for Vaccines &amp; Infectious Diseases, The Kids Research Institute, Nedlands, WA; ² Pharmacy, School of Allied Health, UWA, Perth, WA; ³ Institute for Paediatric Perioperative Excellence, UWA, Perth, WA; ⁴ Medical School, UWA, Crawley, WA; ⁵ Clinical Pharmacology &amp; Toxicology Unit, </w:t>
      </w:r>
      <w:proofErr w:type="spellStart"/>
      <w:r w:rsidRPr="004210CC">
        <w:rPr>
          <w:rFonts w:ascii="Arial" w:hAnsi="Arial" w:cs="Arial"/>
          <w:color w:val="000000"/>
          <w:kern w:val="24"/>
          <w:sz w:val="20"/>
          <w:szCs w:val="20"/>
        </w:rPr>
        <w:t>PathWest</w:t>
      </w:r>
      <w:proofErr w:type="spellEnd"/>
      <w:r w:rsidRPr="004210CC">
        <w:rPr>
          <w:rFonts w:ascii="Arial" w:hAnsi="Arial" w:cs="Arial"/>
          <w:color w:val="000000"/>
          <w:kern w:val="24"/>
          <w:sz w:val="20"/>
          <w:szCs w:val="20"/>
        </w:rPr>
        <w:t>, Perth, WA; ⁶ Dept of Infectious Diseases, Fiona Stanley Hospital, WA; ⁷ Tropical Diseases Research Group, MCRI, Melbourne, VIC; ⁸ Dept of Paediatrics, University of Melbourne, VIC; ⁹ Infectious Diseases Unit, General Medicine, RCH Melbourne, VIC; ¹⁰ Curtin Medical School, Curtin University, Bentley, WA; ¹¹ Curtin Health Innovation Research Institute, Curtin University, Bentley, WA; ¹² Linear Clinical Research, Perth, WA; ¹³ University of Melbourne, VIC; ¹⁴ Sydney School of Public Health, University of Sydney, NSW; ¹⁵ Perth Children’s Hospital, WA</w:t>
      </w:r>
      <w:r w:rsidR="00C315D2" w:rsidRPr="004210CC">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5FEA33B3"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420ED2" w:rsidRPr="00420ED2">
        <w:rPr>
          <w:rFonts w:ascii="Arial" w:eastAsia="Calibri" w:hAnsi="Arial" w:cs="Calibri"/>
          <w:bCs/>
          <w:kern w:val="0"/>
          <w:sz w:val="20"/>
          <w:szCs w:val="20"/>
          <w14:ligatures w14:val="none"/>
        </w:rPr>
        <w:t>While benzylpenicillin (penicillin G) is listed by the WHO as an Essential Medicine, dose optimisation is a persistent challenge, especially for long-acting IM formulations. Maintaining sustained antibiotic exposure at target concentrations is crucial for secondary chemoprophylaxis of rheumatic heart disease and treatment of syphilis. This study compared the pharmacokinetic profile of continuous low-dose benzylpenicillin infusions with a standard-dose bolus, and evaluated which renal function marker (serum creatinine, cystatin C, or combined eGFR) best predicted clearance</w:t>
      </w:r>
      <w:r w:rsidR="00C315D2" w:rsidRPr="00C315D2">
        <w:rPr>
          <w:rFonts w:ascii="Arial" w:eastAsia="Calibri" w:hAnsi="Arial" w:cs="Calibri"/>
          <w:bCs/>
          <w:kern w:val="0"/>
          <w:sz w:val="20"/>
          <w:szCs w:val="20"/>
          <w14:ligatures w14:val="none"/>
        </w:rPr>
        <w:t>.</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43B5CD51"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592DE1" w:rsidRPr="00592DE1">
        <w:rPr>
          <w:rFonts w:ascii="Arial" w:eastAsia="Calibri" w:hAnsi="Arial" w:cs="Calibri"/>
          <w:bCs/>
          <w:kern w:val="0"/>
          <w:sz w:val="20"/>
          <w:szCs w:val="20"/>
          <w14:ligatures w14:val="none"/>
        </w:rPr>
        <w:t>Healthy adult volunteers received a single 600 mg IV benzylpenicillin bolus followed by randomisation to continuous infusions targeting steady-state concentrations of 3, 6, 9, 12, or 20 ng/mL</w:t>
      </w:r>
      <w:r w:rsidR="0054629F" w:rsidRPr="0054629F">
        <w:rPr>
          <w:rFonts w:ascii="Arial" w:eastAsia="Calibri" w:hAnsi="Arial" w:cs="Calibri"/>
          <w:bCs/>
          <w:kern w:val="0"/>
          <w:sz w:val="20"/>
          <w:szCs w:val="20"/>
          <w:vertAlign w:val="superscript"/>
          <w14:ligatures w14:val="none"/>
        </w:rPr>
        <w:t>1</w:t>
      </w:r>
      <w:r w:rsidR="00592DE1" w:rsidRPr="00592DE1">
        <w:rPr>
          <w:rFonts w:ascii="Arial" w:eastAsia="Calibri" w:hAnsi="Arial" w:cs="Calibri"/>
          <w:bCs/>
          <w:kern w:val="0"/>
          <w:sz w:val="20"/>
          <w:szCs w:val="20"/>
          <w14:ligatures w14:val="none"/>
        </w:rPr>
        <w:t>. Plasma benzylpenicillin concentrations were measured by liquid chromatography–mass spectrometry</w:t>
      </w:r>
      <w:r w:rsidR="0054629F" w:rsidRPr="0054629F">
        <w:rPr>
          <w:rFonts w:ascii="Arial" w:eastAsia="Calibri" w:hAnsi="Arial" w:cs="Calibri"/>
          <w:bCs/>
          <w:kern w:val="0"/>
          <w:sz w:val="20"/>
          <w:szCs w:val="20"/>
          <w:vertAlign w:val="superscript"/>
          <w14:ligatures w14:val="none"/>
        </w:rPr>
        <w:t>2</w:t>
      </w:r>
      <w:r w:rsidR="00592DE1" w:rsidRPr="00592DE1">
        <w:rPr>
          <w:rFonts w:ascii="Arial" w:eastAsia="Calibri" w:hAnsi="Arial" w:cs="Calibri"/>
          <w:bCs/>
          <w:kern w:val="0"/>
          <w:sz w:val="20"/>
          <w:szCs w:val="20"/>
          <w14:ligatures w14:val="none"/>
        </w:rPr>
        <w:t>. Population pharmacokinetic analysis was performed using NONMEM by incorporating both bolus and infusion data, while various GFR estimations were evaluated as covariates for clearance</w:t>
      </w:r>
      <w:r w:rsidRPr="00C315D2">
        <w:rPr>
          <w:rFonts w:ascii="Arial" w:eastAsia="Calibri" w:hAnsi="Arial" w:cs="Calibri"/>
          <w:bCs/>
          <w:kern w:val="0"/>
          <w:sz w:val="20"/>
          <w:szCs w:val="20"/>
          <w14:ligatures w14:val="none"/>
        </w:rPr>
        <w:t xml:space="preserve">. </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44719324" w14:textId="76918229" w:rsidR="00C315D2" w:rsidRPr="00936D4C" w:rsidRDefault="00795378" w:rsidP="003C0D1F">
      <w:pPr>
        <w:spacing w:after="0" w:line="240" w:lineRule="auto"/>
        <w:jc w:val="both"/>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3C0D1F" w:rsidRPr="003C0D1F">
        <w:rPr>
          <w:rFonts w:ascii="Arial" w:eastAsia="Calibri" w:hAnsi="Arial" w:cs="Calibri"/>
          <w:kern w:val="0"/>
          <w:sz w:val="20"/>
          <w:szCs w:val="20"/>
          <w:lang w:val="en-US"/>
          <w14:ligatures w14:val="none"/>
        </w:rPr>
        <w:t xml:space="preserve">Data from 72 participants were </w:t>
      </w:r>
      <w:proofErr w:type="spellStart"/>
      <w:r w:rsidR="003C0D1F" w:rsidRPr="003C0D1F">
        <w:rPr>
          <w:rFonts w:ascii="Arial" w:eastAsia="Calibri" w:hAnsi="Arial" w:cs="Calibri"/>
          <w:kern w:val="0"/>
          <w:sz w:val="20"/>
          <w:szCs w:val="20"/>
          <w:lang w:val="en-US"/>
          <w14:ligatures w14:val="none"/>
        </w:rPr>
        <w:t>analysed</w:t>
      </w:r>
      <w:proofErr w:type="spellEnd"/>
      <w:r w:rsidR="003C0D1F" w:rsidRPr="003C0D1F">
        <w:rPr>
          <w:rFonts w:ascii="Arial" w:eastAsia="Calibri" w:hAnsi="Arial" w:cs="Calibri"/>
          <w:kern w:val="0"/>
          <w:sz w:val="20"/>
          <w:szCs w:val="20"/>
          <w:lang w:val="en-US"/>
          <w14:ligatures w14:val="none"/>
        </w:rPr>
        <w:t>, including 504 bolus and 389 continuous infusion samples. A two-compartment model improved fit when the ratio of central volume of distribution between bolus and low-dose infusion was incorporated, and clearance differences at steady state plasma concentration of 3 ng/mL were accounted for. Of the GFR estimations, cystatin C–based eGFR significantly enhanced model fit compared to creatinine-based equations</w:t>
      </w:r>
      <w:r w:rsidR="00936D4C" w:rsidRPr="2021B9E9">
        <w:rPr>
          <w:rFonts w:ascii="Arial" w:eastAsia="Calibri" w:hAnsi="Arial" w:cs="Calibri"/>
          <w:kern w:val="0"/>
          <w:sz w:val="20"/>
          <w:szCs w:val="20"/>
          <w:lang w:val="en-GB"/>
          <w14:ligatures w14:val="none"/>
        </w:rPr>
        <w:t>.</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65E846CD" w14:textId="795138D2" w:rsid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5352DB" w:rsidRPr="005352DB">
        <w:rPr>
          <w:rFonts w:ascii="Arial" w:eastAsia="Calibri" w:hAnsi="Arial" w:cs="Calibri"/>
          <w:bCs/>
          <w:kern w:val="0"/>
          <w:sz w:val="20"/>
          <w:szCs w:val="20"/>
          <w:lang w:val="en-US"/>
          <w14:ligatures w14:val="none"/>
        </w:rPr>
        <w:t>Benzylpenicillin pharmacokinetics at very low concentrations demonstrated both a higher volume of distribution and increased clearance. Cystatin C–based eGFR may more accurately predict benzylpenicillin clearance, enabling precision dosing for long-acting preparations used for treatment of syphilis and prevention of rheumatic fever</w:t>
      </w:r>
      <w:r w:rsidR="005352DB">
        <w:rPr>
          <w:rFonts w:ascii="Arial" w:eastAsia="Calibri" w:hAnsi="Arial" w:cs="Calibri"/>
          <w:bCs/>
          <w:kern w:val="0"/>
          <w:sz w:val="20"/>
          <w:szCs w:val="20"/>
          <w:lang w:val="en-US"/>
          <w14:ligatures w14:val="none"/>
        </w:rPr>
        <w:t>.</w:t>
      </w:r>
    </w:p>
    <w:p w14:paraId="232F62F8" w14:textId="77777777" w:rsidR="006474DA" w:rsidRDefault="006474DA" w:rsidP="00C315D2">
      <w:pPr>
        <w:spacing w:after="0" w:line="240" w:lineRule="auto"/>
        <w:jc w:val="both"/>
        <w:rPr>
          <w:rFonts w:ascii="Arial" w:eastAsia="Calibri" w:hAnsi="Arial" w:cs="Calibri"/>
          <w:bCs/>
          <w:kern w:val="0"/>
          <w:sz w:val="20"/>
          <w:szCs w:val="20"/>
          <w:lang w:val="en-US"/>
          <w14:ligatures w14:val="none"/>
        </w:rPr>
      </w:pPr>
    </w:p>
    <w:p w14:paraId="1DE39EF8" w14:textId="543EF9AA" w:rsidR="006474DA" w:rsidRPr="00C315D2" w:rsidRDefault="006474DA" w:rsidP="00C315D2">
      <w:pPr>
        <w:spacing w:after="0" w:line="240" w:lineRule="auto"/>
        <w:jc w:val="both"/>
        <w:rPr>
          <w:rFonts w:ascii="Arial" w:eastAsia="Calibri" w:hAnsi="Arial" w:cs="Calibri"/>
          <w:bCs/>
          <w:kern w:val="0"/>
          <w:sz w:val="20"/>
          <w:szCs w:val="20"/>
          <w:lang w:val="en-US"/>
          <w14:ligatures w14:val="none"/>
        </w:rPr>
      </w:pPr>
      <w:r w:rsidRPr="006474DA">
        <w:rPr>
          <w:rFonts w:ascii="Arial" w:eastAsia="Calibri" w:hAnsi="Arial" w:cs="Calibri"/>
          <w:b/>
          <w:kern w:val="0"/>
          <w:sz w:val="20"/>
          <w:szCs w:val="20"/>
          <w:lang w:val="en-US"/>
          <w14:ligatures w14:val="none"/>
        </w:rPr>
        <w:t>Funding</w:t>
      </w:r>
      <w:r w:rsidRPr="006474DA">
        <w:rPr>
          <w:rFonts w:ascii="Arial" w:eastAsia="Calibri" w:hAnsi="Arial" w:cs="Calibri"/>
          <w:bCs/>
          <w:kern w:val="0"/>
          <w:sz w:val="20"/>
          <w:szCs w:val="20"/>
          <w:lang w:val="en-US"/>
          <w14:ligatures w14:val="none"/>
        </w:rPr>
        <w:t>: This research was funded by the National Health and Medical Research Council of Australia (NHMRC) Clinical Trials and Cohort Studies—grant number APP1187743. OY is partly funded by a Stan Perron Charitable Foundation People grant (000990).</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3566E923"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495B1BA5" w14:textId="619F3FFE"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(1) </w:t>
      </w:r>
      <w:r w:rsidR="0054629F">
        <w:rPr>
          <w:rFonts w:ascii="Arial" w:eastAsia="Calibri" w:hAnsi="Arial" w:cs="Calibri"/>
          <w:bCs/>
          <w:kern w:val="0"/>
          <w:sz w:val="20"/>
          <w:szCs w:val="20"/>
          <w:lang w:val="en-US"/>
          <w14:ligatures w14:val="none"/>
        </w:rPr>
        <w:t>Hla</w:t>
      </w:r>
      <w:r w:rsidRPr="00C315D2">
        <w:rPr>
          <w:rFonts w:ascii="Arial" w:eastAsia="Calibri" w:hAnsi="Arial" w:cs="Calibri"/>
          <w:bCs/>
          <w:kern w:val="0"/>
          <w:sz w:val="20"/>
          <w:szCs w:val="20"/>
          <w:lang w:val="en-US"/>
          <w14:ligatures w14:val="none"/>
        </w:rPr>
        <w:t xml:space="preserve">, </w:t>
      </w:r>
      <w:r w:rsidR="0054629F">
        <w:rPr>
          <w:rFonts w:ascii="Arial" w:eastAsia="Calibri" w:hAnsi="Arial" w:cs="Calibri"/>
          <w:bCs/>
          <w:kern w:val="0"/>
          <w:sz w:val="20"/>
          <w:szCs w:val="20"/>
          <w:lang w:val="en-US"/>
          <w14:ligatures w14:val="none"/>
        </w:rPr>
        <w:t>TK</w:t>
      </w:r>
      <w:r>
        <w:rPr>
          <w:rFonts w:ascii="Arial" w:eastAsia="Calibri" w:hAnsi="Arial" w:cs="Calibri"/>
          <w:bCs/>
          <w:kern w:val="0"/>
          <w:sz w:val="20"/>
          <w:szCs w:val="20"/>
          <w:lang w:val="en-US"/>
          <w14:ligatures w14:val="none"/>
        </w:rPr>
        <w:t>.</w:t>
      </w:r>
      <w:r w:rsidRPr="00C315D2">
        <w:rPr>
          <w:rFonts w:ascii="Arial" w:eastAsia="Calibri" w:hAnsi="Arial" w:cs="Calibri"/>
          <w:bCs/>
          <w:kern w:val="0"/>
          <w:sz w:val="20"/>
          <w:szCs w:val="20"/>
          <w:lang w:val="en-US"/>
          <w14:ligatures w14:val="none"/>
        </w:rPr>
        <w:t xml:space="preserve"> </w:t>
      </w:r>
      <w:r w:rsidR="00E91B3F">
        <w:rPr>
          <w:rFonts w:ascii="Arial" w:eastAsia="Calibri" w:hAnsi="Arial" w:cs="Calibri"/>
          <w:bCs/>
          <w:kern w:val="0"/>
          <w:sz w:val="20"/>
          <w:szCs w:val="20"/>
          <w:lang w:val="en-US"/>
          <w14:ligatures w14:val="none"/>
        </w:rPr>
        <w:t xml:space="preserve">et al </w:t>
      </w:r>
      <w:r w:rsidRPr="00C315D2">
        <w:rPr>
          <w:rFonts w:ascii="Arial" w:eastAsia="Calibri" w:hAnsi="Arial" w:cs="Calibri"/>
          <w:bCs/>
          <w:kern w:val="0"/>
          <w:sz w:val="20"/>
          <w:szCs w:val="20"/>
          <w:lang w:val="en-US"/>
          <w14:ligatures w14:val="none"/>
        </w:rPr>
        <w:t xml:space="preserve">(2025) </w:t>
      </w:r>
      <w:r w:rsidR="00E91B3F" w:rsidRPr="00E91B3F">
        <w:rPr>
          <w:rFonts w:ascii="Arial" w:eastAsia="Calibri" w:hAnsi="Arial" w:cs="Calibri"/>
          <w:bCs/>
          <w:kern w:val="0"/>
          <w:sz w:val="20"/>
          <w:szCs w:val="20"/>
          <w:lang w:val="en-US"/>
          <w14:ligatures w14:val="none"/>
        </w:rPr>
        <w:t>Lancet Microbe</w:t>
      </w:r>
      <w:r w:rsidR="00E91B3F">
        <w:rPr>
          <w:rFonts w:ascii="Arial" w:eastAsia="Calibri" w:hAnsi="Arial" w:cs="Calibri"/>
          <w:bCs/>
          <w:kern w:val="0"/>
          <w:sz w:val="20"/>
          <w:szCs w:val="20"/>
          <w:lang w:val="en-US"/>
          <w14:ligatures w14:val="none"/>
        </w:rPr>
        <w:t>,</w:t>
      </w:r>
      <w:r w:rsidRPr="00C315D2">
        <w:rPr>
          <w:rFonts w:ascii="Arial" w:eastAsia="Calibri" w:hAnsi="Arial" w:cs="Calibri"/>
          <w:bCs/>
          <w:kern w:val="0"/>
          <w:sz w:val="20"/>
          <w:szCs w:val="20"/>
          <w:lang w:val="en-US"/>
          <w14:ligatures w14:val="none"/>
        </w:rPr>
        <w:t xml:space="preserve"> </w:t>
      </w:r>
      <w:proofErr w:type="gramStart"/>
      <w:r w:rsidR="00E213E9" w:rsidRPr="00E213E9">
        <w:rPr>
          <w:rFonts w:ascii="Arial" w:eastAsia="Calibri" w:hAnsi="Arial" w:cs="Calibri"/>
          <w:bCs/>
          <w:kern w:val="0"/>
          <w:sz w:val="20"/>
          <w:szCs w:val="20"/>
          <w:lang w:val="en-US"/>
          <w14:ligatures w14:val="none"/>
        </w:rPr>
        <w:t>doi:10.1016/j.lanmic</w:t>
      </w:r>
      <w:proofErr w:type="gramEnd"/>
      <w:r w:rsidR="00E213E9" w:rsidRPr="00E213E9">
        <w:rPr>
          <w:rFonts w:ascii="Arial" w:eastAsia="Calibri" w:hAnsi="Arial" w:cs="Calibri"/>
          <w:bCs/>
          <w:kern w:val="0"/>
          <w:sz w:val="20"/>
          <w:szCs w:val="20"/>
          <w:lang w:val="en-US"/>
          <w14:ligatures w14:val="none"/>
        </w:rPr>
        <w:t>.2024.101038</w:t>
      </w:r>
    </w:p>
    <w:p w14:paraId="7D6E388F" w14:textId="0E091560" w:rsidR="00113BB7" w:rsidRPr="009B1CBB" w:rsidRDefault="00C315D2" w:rsidP="00C315D2">
      <w:pPr>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(2) </w:t>
      </w:r>
      <w:r w:rsidR="001E057A" w:rsidRPr="001E057A">
        <w:rPr>
          <w:rFonts w:ascii="Arial" w:eastAsia="Calibri" w:hAnsi="Arial" w:cs="Calibri"/>
          <w:bCs/>
          <w:kern w:val="0"/>
          <w:sz w:val="20"/>
          <w:szCs w:val="20"/>
          <w:lang w:val="en-US"/>
          <w14:ligatures w14:val="none"/>
        </w:rPr>
        <w:t>Page-Sharp, M</w:t>
      </w:r>
      <w:r>
        <w:rPr>
          <w:rFonts w:ascii="Arial" w:eastAsia="Calibri" w:hAnsi="Arial" w:cs="Calibri"/>
          <w:bCs/>
          <w:kern w:val="0"/>
          <w:sz w:val="20"/>
          <w:szCs w:val="20"/>
          <w:lang w:val="en-US"/>
          <w14:ligatures w14:val="none"/>
        </w:rPr>
        <w:t>.</w:t>
      </w:r>
      <w:r w:rsidRPr="00C315D2">
        <w:rPr>
          <w:rFonts w:ascii="Arial" w:eastAsia="Calibri" w:hAnsi="Arial" w:cs="Calibri"/>
          <w:bCs/>
          <w:kern w:val="0"/>
          <w:sz w:val="20"/>
          <w:szCs w:val="20"/>
          <w:lang w:val="en-US"/>
          <w14:ligatures w14:val="none"/>
        </w:rPr>
        <w:t xml:space="preserve"> et al (20</w:t>
      </w:r>
      <w:r w:rsidR="0007206A">
        <w:rPr>
          <w:rFonts w:ascii="Arial" w:eastAsia="Calibri" w:hAnsi="Arial" w:cs="Calibri"/>
          <w:bCs/>
          <w:kern w:val="0"/>
          <w:sz w:val="20"/>
          <w:szCs w:val="20"/>
          <w:lang w:val="en-US"/>
          <w14:ligatures w14:val="none"/>
        </w:rPr>
        <w:t>17</w:t>
      </w:r>
      <w:r w:rsidRPr="00C315D2">
        <w:rPr>
          <w:rFonts w:ascii="Arial" w:eastAsia="Calibri" w:hAnsi="Arial" w:cs="Calibri"/>
          <w:bCs/>
          <w:kern w:val="0"/>
          <w:sz w:val="20"/>
          <w:szCs w:val="20"/>
          <w:lang w:val="en-US"/>
          <w14:ligatures w14:val="none"/>
        </w:rPr>
        <w:t xml:space="preserve">) </w:t>
      </w:r>
      <w:r w:rsidR="005E7B7E">
        <w:rPr>
          <w:rFonts w:ascii="Arial" w:eastAsia="Calibri" w:hAnsi="Arial" w:cs="Calibri"/>
          <w:bCs/>
          <w:kern w:val="0"/>
          <w:sz w:val="20"/>
          <w:szCs w:val="20"/>
          <w:lang w:val="en-US"/>
          <w14:ligatures w14:val="none"/>
        </w:rPr>
        <w:t>AAC</w:t>
      </w:r>
      <w:r w:rsidRPr="00C315D2">
        <w:rPr>
          <w:rFonts w:ascii="Arial" w:eastAsia="Calibri" w:hAnsi="Arial" w:cs="Calibri"/>
          <w:bCs/>
          <w:kern w:val="0"/>
          <w:sz w:val="20"/>
          <w:szCs w:val="20"/>
          <w:lang w:val="en-US"/>
          <w14:ligatures w14:val="none"/>
        </w:rPr>
        <w:t xml:space="preserve">, </w:t>
      </w:r>
      <w:r w:rsidR="00133AF9" w:rsidRPr="00133AF9">
        <w:rPr>
          <w:rFonts w:ascii="Arial" w:eastAsia="Calibri" w:hAnsi="Arial" w:cs="Calibri"/>
          <w:bCs/>
          <w:kern w:val="0"/>
          <w:sz w:val="20"/>
          <w:szCs w:val="20"/>
          <w:lang w:val="en-US"/>
          <w14:ligatures w14:val="none"/>
        </w:rPr>
        <w:t>doi:10.1128/AAC.00252-17</w:t>
      </w: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7206A"/>
    <w:rsid w:val="00107368"/>
    <w:rsid w:val="00113BB7"/>
    <w:rsid w:val="00133AF9"/>
    <w:rsid w:val="001E057A"/>
    <w:rsid w:val="002017E6"/>
    <w:rsid w:val="00294059"/>
    <w:rsid w:val="003206E4"/>
    <w:rsid w:val="0034467C"/>
    <w:rsid w:val="003A6D5C"/>
    <w:rsid w:val="003C0D1F"/>
    <w:rsid w:val="003C2D94"/>
    <w:rsid w:val="00420ED2"/>
    <w:rsid w:val="004210CC"/>
    <w:rsid w:val="004637C2"/>
    <w:rsid w:val="004A51B6"/>
    <w:rsid w:val="00510CF8"/>
    <w:rsid w:val="00527B44"/>
    <w:rsid w:val="005352DB"/>
    <w:rsid w:val="0054629F"/>
    <w:rsid w:val="00575A29"/>
    <w:rsid w:val="00592DE1"/>
    <w:rsid w:val="005E7B7E"/>
    <w:rsid w:val="00601754"/>
    <w:rsid w:val="006474DA"/>
    <w:rsid w:val="006A34BE"/>
    <w:rsid w:val="006A422D"/>
    <w:rsid w:val="006F3F1C"/>
    <w:rsid w:val="007141F2"/>
    <w:rsid w:val="007561D8"/>
    <w:rsid w:val="00795378"/>
    <w:rsid w:val="00796206"/>
    <w:rsid w:val="007C367E"/>
    <w:rsid w:val="008071C5"/>
    <w:rsid w:val="0084562F"/>
    <w:rsid w:val="008B1C0E"/>
    <w:rsid w:val="00906D34"/>
    <w:rsid w:val="0092021F"/>
    <w:rsid w:val="00933DC9"/>
    <w:rsid w:val="00936D4C"/>
    <w:rsid w:val="009523F9"/>
    <w:rsid w:val="009650DF"/>
    <w:rsid w:val="009B1CBB"/>
    <w:rsid w:val="009E7ADB"/>
    <w:rsid w:val="00A0516D"/>
    <w:rsid w:val="00B4721D"/>
    <w:rsid w:val="00B8473A"/>
    <w:rsid w:val="00C21815"/>
    <w:rsid w:val="00C315D2"/>
    <w:rsid w:val="00C353D8"/>
    <w:rsid w:val="00CF5A91"/>
    <w:rsid w:val="00D02BB1"/>
    <w:rsid w:val="00D0340B"/>
    <w:rsid w:val="00D231C9"/>
    <w:rsid w:val="00D45A74"/>
    <w:rsid w:val="00D7428F"/>
    <w:rsid w:val="00DD10DB"/>
    <w:rsid w:val="00E213E9"/>
    <w:rsid w:val="00E91B3F"/>
    <w:rsid w:val="00EC3746"/>
    <w:rsid w:val="00F539FB"/>
    <w:rsid w:val="00F85528"/>
    <w:rsid w:val="00FE357C"/>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NormalWeb">
    <w:name w:val="Normal (Web)"/>
    <w:basedOn w:val="Normal"/>
    <w:uiPriority w:val="99"/>
    <w:semiHidden/>
    <w:unhideWhenUsed/>
    <w:rsid w:val="00FE357C"/>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NoSpacing">
    <w:name w:val="No Spacing"/>
    <w:uiPriority w:val="1"/>
    <w:qFormat/>
    <w:rsid w:val="00FE3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Okhee Yoo</cp:lastModifiedBy>
  <cp:revision>27</cp:revision>
  <dcterms:created xsi:type="dcterms:W3CDTF">2025-03-11T02:17:00Z</dcterms:created>
  <dcterms:modified xsi:type="dcterms:W3CDTF">2025-05-26T12:04:00Z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