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9AA9" w14:textId="77777777" w:rsidR="00B4579F" w:rsidRDefault="00B4579F" w:rsidP="00B4579F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Silk-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nanodiamond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>-curcumin wound dressings for sensing infection</w:t>
      </w:r>
    </w:p>
    <w:p w14:paraId="57620FCC" w14:textId="77777777" w:rsidR="00B4579F" w:rsidRPr="00E53D3E" w:rsidRDefault="00B4579F" w:rsidP="00B4579F">
      <w:pPr>
        <w:jc w:val="center"/>
        <w:rPr>
          <w:rFonts w:ascii="Calibri" w:hAnsi="Calibri" w:cs="Calibri"/>
          <w:b/>
          <w:sz w:val="22"/>
          <w:szCs w:val="28"/>
          <w:lang w:val="en-AU"/>
        </w:rPr>
      </w:pPr>
    </w:p>
    <w:p w14:paraId="6804ED1C" w14:textId="3F1DA254" w:rsidR="00B4579F" w:rsidRPr="00E53D3E" w:rsidRDefault="00B4579F" w:rsidP="00B4579F">
      <w:pPr>
        <w:jc w:val="center"/>
        <w:rPr>
          <w:rFonts w:ascii="Calibri" w:hAnsi="Calibri" w:cs="Calibri"/>
          <w:i/>
          <w:szCs w:val="22"/>
          <w:lang w:val="en-AU"/>
        </w:rPr>
      </w:pPr>
      <w:r w:rsidRPr="00E53D3E">
        <w:rPr>
          <w:rFonts w:ascii="Calibri" w:hAnsi="Calibri" w:cs="Calibri"/>
          <w:i/>
          <w:sz w:val="28"/>
          <w:lang w:val="en-AU"/>
        </w:rPr>
        <w:t xml:space="preserve"> </w:t>
      </w:r>
      <w:r w:rsidRPr="00E53D3E">
        <w:rPr>
          <w:rFonts w:ascii="Calibri" w:hAnsi="Calibri" w:cs="Calibri"/>
          <w:i/>
          <w:szCs w:val="22"/>
          <w:lang w:val="en-AU"/>
        </w:rPr>
        <w:t>Amanda N. Abraham</w:t>
      </w:r>
      <w:r w:rsidRPr="00927E4B">
        <w:rPr>
          <w:rFonts w:ascii="Calibri" w:hAnsi="Calibri" w:cs="Calibri"/>
          <w:i/>
          <w:szCs w:val="22"/>
          <w:lang w:val="en-AU"/>
        </w:rPr>
        <w:t xml:space="preserve"> </w:t>
      </w:r>
      <w:r w:rsidRPr="00927E4B">
        <w:rPr>
          <w:rFonts w:ascii="Calibri" w:hAnsi="Calibri" w:cs="Calibri"/>
          <w:i/>
          <w:szCs w:val="22"/>
          <w:vertAlign w:val="superscript"/>
          <w:lang w:val="en-AU"/>
        </w:rPr>
        <w:t>A</w:t>
      </w:r>
      <w:r w:rsidRPr="00E53D3E">
        <w:rPr>
          <w:rFonts w:ascii="Calibri" w:hAnsi="Calibri" w:cs="Calibri"/>
          <w:i/>
          <w:szCs w:val="22"/>
          <w:lang w:val="en-AU"/>
        </w:rPr>
        <w:t>, Asma Khalid</w:t>
      </w:r>
      <w:r w:rsidR="001E3DCE">
        <w:rPr>
          <w:rFonts w:ascii="Calibri" w:hAnsi="Calibri" w:cs="Calibri"/>
          <w:i/>
          <w:szCs w:val="22"/>
          <w:lang w:val="en-AU"/>
        </w:rPr>
        <w:t xml:space="preserve"> </w:t>
      </w:r>
      <w:r w:rsidR="00B76072">
        <w:rPr>
          <w:rFonts w:ascii="Calibri" w:hAnsi="Calibri" w:cs="Calibri"/>
          <w:i/>
          <w:szCs w:val="22"/>
          <w:vertAlign w:val="superscript"/>
          <w:lang w:val="en-AU"/>
        </w:rPr>
        <w:t xml:space="preserve">A, </w:t>
      </w:r>
      <w:r w:rsidRPr="00927E4B">
        <w:rPr>
          <w:rFonts w:ascii="Calibri" w:hAnsi="Calibri" w:cs="Calibri"/>
          <w:i/>
          <w:szCs w:val="22"/>
          <w:vertAlign w:val="superscript"/>
          <w:lang w:val="en-AU"/>
        </w:rPr>
        <w:t>B</w:t>
      </w:r>
      <w:r w:rsidRPr="00E53D3E">
        <w:rPr>
          <w:rFonts w:ascii="Calibri" w:hAnsi="Calibri" w:cs="Calibri"/>
          <w:i/>
          <w:szCs w:val="22"/>
          <w:lang w:val="en-AU"/>
        </w:rPr>
        <w:t>, Huu Khuong Duy Nguyen</w:t>
      </w:r>
      <w:r w:rsidR="001E3DCE">
        <w:rPr>
          <w:rFonts w:ascii="Calibri" w:hAnsi="Calibri" w:cs="Calibri"/>
          <w:i/>
          <w:szCs w:val="22"/>
          <w:lang w:val="en-AU"/>
        </w:rPr>
        <w:t xml:space="preserve"> </w:t>
      </w:r>
      <w:r w:rsidR="00EF01C2">
        <w:rPr>
          <w:rFonts w:ascii="Calibri" w:hAnsi="Calibri" w:cs="Calibri"/>
          <w:i/>
          <w:szCs w:val="22"/>
          <w:vertAlign w:val="superscript"/>
          <w:lang w:val="en-AU"/>
        </w:rPr>
        <w:t xml:space="preserve">B, </w:t>
      </w:r>
      <w:r w:rsidRPr="00927E4B">
        <w:rPr>
          <w:rFonts w:ascii="Calibri" w:hAnsi="Calibri" w:cs="Calibri"/>
          <w:i/>
          <w:szCs w:val="22"/>
          <w:vertAlign w:val="superscript"/>
          <w:lang w:val="en-AU"/>
        </w:rPr>
        <w:t>C</w:t>
      </w:r>
      <w:r w:rsidRPr="00E53D3E">
        <w:rPr>
          <w:rFonts w:ascii="Calibri" w:hAnsi="Calibri" w:cs="Calibri"/>
          <w:i/>
          <w:szCs w:val="22"/>
          <w:lang w:val="en-AU"/>
        </w:rPr>
        <w:t>, Denver P. Linklater</w:t>
      </w:r>
      <w:r w:rsidR="001E3DCE">
        <w:rPr>
          <w:rFonts w:ascii="Calibri" w:hAnsi="Calibri" w:cs="Calibri"/>
          <w:i/>
          <w:szCs w:val="22"/>
          <w:lang w:val="en-AU"/>
        </w:rPr>
        <w:t xml:space="preserve"> </w:t>
      </w:r>
      <w:r w:rsidR="00EF01C2">
        <w:rPr>
          <w:rFonts w:ascii="Calibri" w:hAnsi="Calibri" w:cs="Calibri"/>
          <w:i/>
          <w:szCs w:val="22"/>
          <w:vertAlign w:val="superscript"/>
          <w:lang w:val="en-AU"/>
        </w:rPr>
        <w:t xml:space="preserve">B, </w:t>
      </w:r>
      <w:r w:rsidR="00EF01C2" w:rsidRPr="00927E4B">
        <w:rPr>
          <w:rFonts w:ascii="Calibri" w:hAnsi="Calibri" w:cs="Calibri"/>
          <w:i/>
          <w:szCs w:val="22"/>
          <w:vertAlign w:val="superscript"/>
          <w:lang w:val="en-AU"/>
        </w:rPr>
        <w:t>C</w:t>
      </w:r>
      <w:r w:rsidRPr="00E53D3E">
        <w:rPr>
          <w:rFonts w:ascii="Calibri" w:hAnsi="Calibri" w:cs="Calibri"/>
          <w:i/>
          <w:szCs w:val="22"/>
          <w:lang w:val="en-AU"/>
        </w:rPr>
        <w:t>, Elena Ivanova</w:t>
      </w:r>
      <w:r w:rsidR="001E3DCE">
        <w:rPr>
          <w:rFonts w:ascii="Calibri" w:hAnsi="Calibri" w:cs="Calibri"/>
          <w:i/>
          <w:szCs w:val="22"/>
          <w:lang w:val="en-AU"/>
        </w:rPr>
        <w:t xml:space="preserve"> </w:t>
      </w:r>
      <w:r w:rsidRPr="00927E4B">
        <w:rPr>
          <w:rFonts w:ascii="Calibri" w:hAnsi="Calibri" w:cs="Calibri"/>
          <w:i/>
          <w:szCs w:val="22"/>
          <w:vertAlign w:val="superscript"/>
          <w:lang w:val="en-AU"/>
        </w:rPr>
        <w:t>B</w:t>
      </w:r>
      <w:r w:rsidRPr="00E53D3E">
        <w:rPr>
          <w:rFonts w:ascii="Calibri" w:hAnsi="Calibri" w:cs="Calibri"/>
          <w:i/>
          <w:szCs w:val="22"/>
          <w:lang w:val="en-AU"/>
        </w:rPr>
        <w:t>, Sarah J. Spencer</w:t>
      </w:r>
      <w:r w:rsidR="00EE0AC6">
        <w:rPr>
          <w:rFonts w:ascii="Calibri" w:hAnsi="Calibri" w:cs="Calibri"/>
          <w:i/>
          <w:szCs w:val="22"/>
          <w:lang w:val="en-AU"/>
        </w:rPr>
        <w:t xml:space="preserve"> </w:t>
      </w:r>
      <w:r w:rsidR="00EE0AC6">
        <w:rPr>
          <w:rFonts w:ascii="Calibri" w:hAnsi="Calibri" w:cs="Calibri"/>
          <w:i/>
          <w:szCs w:val="22"/>
          <w:vertAlign w:val="superscript"/>
          <w:lang w:val="en-AU"/>
        </w:rPr>
        <w:t xml:space="preserve">A, </w:t>
      </w:r>
      <w:r w:rsidRPr="00927E4B">
        <w:rPr>
          <w:rFonts w:ascii="Calibri" w:hAnsi="Calibri" w:cs="Calibri"/>
          <w:i/>
          <w:szCs w:val="22"/>
          <w:vertAlign w:val="superscript"/>
          <w:lang w:val="en-AU"/>
        </w:rPr>
        <w:t>D</w:t>
      </w:r>
      <w:r w:rsidRPr="00E53D3E">
        <w:rPr>
          <w:rFonts w:ascii="Calibri" w:hAnsi="Calibri" w:cs="Calibri"/>
          <w:i/>
          <w:szCs w:val="22"/>
          <w:lang w:val="en-AU"/>
        </w:rPr>
        <w:t>, Brant C. Gibson*</w:t>
      </w:r>
      <w:r w:rsidRPr="00927E4B">
        <w:rPr>
          <w:rFonts w:ascii="Calibri" w:hAnsi="Calibri" w:cs="Calibri"/>
          <w:i/>
          <w:szCs w:val="22"/>
          <w:vertAlign w:val="superscript"/>
          <w:lang w:val="en-AU"/>
        </w:rPr>
        <w:t>A</w:t>
      </w:r>
      <w:r w:rsidR="00B76072">
        <w:rPr>
          <w:rFonts w:ascii="Calibri" w:hAnsi="Calibri" w:cs="Calibri"/>
          <w:i/>
          <w:szCs w:val="22"/>
          <w:vertAlign w:val="superscript"/>
          <w:lang w:val="en-AU"/>
        </w:rPr>
        <w:t>, B</w:t>
      </w:r>
    </w:p>
    <w:p w14:paraId="20092982" w14:textId="2FCEA17D" w:rsidR="00B4579F" w:rsidRPr="00864102" w:rsidRDefault="00B4579F" w:rsidP="00B4579F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864102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EB0B1D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864102">
        <w:rPr>
          <w:rFonts w:ascii="Calibri" w:hAnsi="Calibri" w:cs="Calibri"/>
          <w:sz w:val="22"/>
          <w:szCs w:val="22"/>
          <w:lang w:val="en-AU"/>
        </w:rPr>
        <w:t xml:space="preserve">Australian Research Council Centre of Excellence for Nanoscale </w:t>
      </w:r>
      <w:proofErr w:type="spellStart"/>
      <w:r w:rsidRPr="00864102">
        <w:rPr>
          <w:rFonts w:ascii="Calibri" w:hAnsi="Calibri" w:cs="Calibri"/>
          <w:sz w:val="22"/>
          <w:szCs w:val="22"/>
          <w:lang w:val="en-AU"/>
        </w:rPr>
        <w:t>BioPhotonics</w:t>
      </w:r>
      <w:proofErr w:type="spellEnd"/>
      <w:r w:rsidRPr="00864102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spellStart"/>
      <w:r w:rsidRPr="00864102">
        <w:rPr>
          <w:rFonts w:ascii="Calibri" w:hAnsi="Calibri" w:cs="Calibri"/>
          <w:sz w:val="22"/>
          <w:szCs w:val="22"/>
          <w:lang w:val="en-AU"/>
        </w:rPr>
        <w:t>RMIT</w:t>
      </w:r>
      <w:proofErr w:type="spellEnd"/>
      <w:r w:rsidRPr="00864102">
        <w:rPr>
          <w:rFonts w:ascii="Calibri" w:hAnsi="Calibri" w:cs="Calibri"/>
          <w:sz w:val="22"/>
          <w:szCs w:val="22"/>
          <w:lang w:val="en-AU"/>
        </w:rPr>
        <w:t xml:space="preserve"> University, Melbourne, Victoria 3001, Australia;</w:t>
      </w:r>
    </w:p>
    <w:p w14:paraId="1A8A2E01" w14:textId="2515F687" w:rsidR="00B4579F" w:rsidRPr="00864102" w:rsidRDefault="00B4579F" w:rsidP="00B4579F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864102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EB0B1D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864102">
        <w:rPr>
          <w:rFonts w:ascii="Calibri" w:hAnsi="Calibri" w:cs="Calibri"/>
          <w:sz w:val="22"/>
          <w:szCs w:val="22"/>
          <w:lang w:val="en-AU"/>
        </w:rPr>
        <w:t xml:space="preserve">School of Science, </w:t>
      </w:r>
      <w:proofErr w:type="spellStart"/>
      <w:r w:rsidRPr="00864102">
        <w:rPr>
          <w:rFonts w:ascii="Calibri" w:hAnsi="Calibri" w:cs="Calibri"/>
          <w:sz w:val="22"/>
          <w:szCs w:val="22"/>
          <w:lang w:val="en-AU"/>
        </w:rPr>
        <w:t>RMIT</w:t>
      </w:r>
      <w:proofErr w:type="spellEnd"/>
      <w:r w:rsidRPr="00864102">
        <w:rPr>
          <w:rFonts w:ascii="Calibri" w:hAnsi="Calibri" w:cs="Calibri"/>
          <w:sz w:val="22"/>
          <w:szCs w:val="22"/>
          <w:lang w:val="en-AU"/>
        </w:rPr>
        <w:t xml:space="preserve"> University, Melbourne, Victoria 3001; </w:t>
      </w:r>
    </w:p>
    <w:p w14:paraId="4213A4AB" w14:textId="569F62C5" w:rsidR="00B4579F" w:rsidRPr="00864102" w:rsidRDefault="00B4579F" w:rsidP="00B4579F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864102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EB0B1D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864102">
        <w:rPr>
          <w:rFonts w:ascii="Calibri" w:hAnsi="Calibri" w:cs="Calibri"/>
          <w:sz w:val="22"/>
          <w:szCs w:val="22"/>
          <w:lang w:val="en-AU"/>
        </w:rPr>
        <w:t>Faculty of Science, Engineering and Technology, Swinburn</w:t>
      </w:r>
      <w:r w:rsidR="00FA3870">
        <w:rPr>
          <w:rFonts w:ascii="Calibri" w:hAnsi="Calibri" w:cs="Calibri"/>
          <w:sz w:val="22"/>
          <w:szCs w:val="22"/>
          <w:lang w:val="en-AU"/>
        </w:rPr>
        <w:t>e</w:t>
      </w:r>
      <w:r w:rsidRPr="00864102">
        <w:rPr>
          <w:rFonts w:ascii="Calibri" w:hAnsi="Calibri" w:cs="Calibri"/>
          <w:sz w:val="22"/>
          <w:szCs w:val="22"/>
          <w:lang w:val="en-AU"/>
        </w:rPr>
        <w:t xml:space="preserve"> University of Technology, Hawthorn, Victoria 3122, Australia; </w:t>
      </w:r>
    </w:p>
    <w:p w14:paraId="06A118D4" w14:textId="77777777" w:rsidR="00B4579F" w:rsidRPr="00864102" w:rsidRDefault="00B4579F" w:rsidP="00B4579F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864102">
        <w:rPr>
          <w:rFonts w:ascii="Calibri" w:hAnsi="Calibri" w:cs="Calibri"/>
          <w:sz w:val="22"/>
          <w:szCs w:val="22"/>
          <w:vertAlign w:val="superscript"/>
          <w:lang w:val="en-AU"/>
        </w:rPr>
        <w:t>D</w:t>
      </w:r>
      <w:r w:rsidRPr="00864102">
        <w:rPr>
          <w:rFonts w:ascii="Calibri" w:hAnsi="Calibri" w:cs="Calibri"/>
          <w:sz w:val="22"/>
          <w:szCs w:val="22"/>
          <w:lang w:val="en-AU"/>
        </w:rPr>
        <w:t xml:space="preserve"> School of Health and Biomedical Sciences, </w:t>
      </w:r>
      <w:proofErr w:type="spellStart"/>
      <w:r w:rsidRPr="00864102">
        <w:rPr>
          <w:rFonts w:ascii="Calibri" w:hAnsi="Calibri" w:cs="Calibri"/>
          <w:sz w:val="22"/>
          <w:szCs w:val="22"/>
          <w:lang w:val="en-AU"/>
        </w:rPr>
        <w:t>RMIT</w:t>
      </w:r>
      <w:proofErr w:type="spellEnd"/>
      <w:r w:rsidRPr="00864102">
        <w:rPr>
          <w:rFonts w:ascii="Calibri" w:hAnsi="Calibri" w:cs="Calibri"/>
          <w:sz w:val="22"/>
          <w:szCs w:val="22"/>
          <w:lang w:val="en-AU"/>
        </w:rPr>
        <w:t xml:space="preserve"> University, Melbourne, Victoria 3001, Australia.</w:t>
      </w:r>
    </w:p>
    <w:p w14:paraId="6D423549" w14:textId="77777777" w:rsidR="00B4579F" w:rsidRPr="006B3866" w:rsidRDefault="00B4579F" w:rsidP="00B4579F">
      <w:pPr>
        <w:pStyle w:val="Default"/>
        <w:jc w:val="both"/>
        <w:rPr>
          <w:color w:val="auto"/>
          <w:sz w:val="22"/>
          <w:szCs w:val="22"/>
          <w:lang w:val="en-AU"/>
        </w:rPr>
      </w:pPr>
    </w:p>
    <w:p w14:paraId="20031B2C" w14:textId="38619CFD" w:rsidR="00B4579F" w:rsidRDefault="00B4579F" w:rsidP="00DD15ED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I</w:t>
      </w:r>
      <w:r w:rsidRPr="00E53D3E">
        <w:rPr>
          <w:rFonts w:ascii="Calibri" w:hAnsi="Calibri" w:cs="Calibri"/>
          <w:sz w:val="22"/>
          <w:szCs w:val="22"/>
          <w:lang w:val="en-AU"/>
        </w:rPr>
        <w:t>nfection in a wound</w:t>
      </w:r>
      <w:r>
        <w:rPr>
          <w:rFonts w:ascii="Calibri" w:hAnsi="Calibri" w:cs="Calibri"/>
          <w:sz w:val="22"/>
          <w:szCs w:val="22"/>
          <w:lang w:val="en-AU"/>
        </w:rPr>
        <w:t xml:space="preserve"> or surgical incision</w:t>
      </w:r>
      <w:r w:rsidRPr="00E53D3E">
        <w:rPr>
          <w:rFonts w:ascii="Calibri" w:hAnsi="Calibri" w:cs="Calibri"/>
          <w:sz w:val="22"/>
          <w:szCs w:val="22"/>
          <w:lang w:val="en-AU"/>
        </w:rPr>
        <w:t xml:space="preserve"> site is typically diagnosed based on the external appearance</w:t>
      </w:r>
      <w:r>
        <w:rPr>
          <w:rFonts w:ascii="Calibri" w:hAnsi="Calibri" w:cs="Calibri"/>
          <w:sz w:val="22"/>
          <w:szCs w:val="22"/>
          <w:lang w:val="en-AU"/>
        </w:rPr>
        <w:t xml:space="preserve"> of the area</w:t>
      </w:r>
      <w:r w:rsidRPr="00E53D3E">
        <w:rPr>
          <w:rFonts w:ascii="Calibri" w:hAnsi="Calibri" w:cs="Calibri"/>
          <w:sz w:val="22"/>
          <w:szCs w:val="22"/>
          <w:lang w:val="en-AU"/>
        </w:rPr>
        <w:t xml:space="preserve">, such as redness, swelling, odour, and/or loss of function. However, </w:t>
      </w:r>
      <w:r>
        <w:rPr>
          <w:rFonts w:ascii="Calibri" w:hAnsi="Calibri" w:cs="Calibri"/>
          <w:sz w:val="22"/>
          <w:szCs w:val="22"/>
          <w:lang w:val="en-AU"/>
        </w:rPr>
        <w:t>t</w:t>
      </w:r>
      <w:r w:rsidRPr="00E53D3E">
        <w:rPr>
          <w:rFonts w:ascii="Calibri" w:hAnsi="Calibri" w:cs="Calibri"/>
          <w:sz w:val="22"/>
          <w:szCs w:val="22"/>
          <w:lang w:val="en-AU"/>
        </w:rPr>
        <w:t>his require</w:t>
      </w:r>
      <w:r>
        <w:rPr>
          <w:rFonts w:ascii="Calibri" w:hAnsi="Calibri" w:cs="Calibri"/>
          <w:sz w:val="22"/>
          <w:szCs w:val="22"/>
          <w:lang w:val="en-AU"/>
        </w:rPr>
        <w:t>s the</w:t>
      </w:r>
      <w:r w:rsidRPr="00E53D3E">
        <w:rPr>
          <w:rFonts w:ascii="Calibri" w:hAnsi="Calibri" w:cs="Calibri"/>
          <w:sz w:val="22"/>
          <w:szCs w:val="22"/>
          <w:lang w:val="en-AU"/>
        </w:rPr>
        <w:t xml:space="preserve"> removal of any dressing that might be present, which </w:t>
      </w:r>
      <w:r>
        <w:rPr>
          <w:rFonts w:ascii="Calibri" w:hAnsi="Calibri" w:cs="Calibri"/>
          <w:sz w:val="22"/>
          <w:szCs w:val="22"/>
          <w:lang w:val="en-AU"/>
        </w:rPr>
        <w:t xml:space="preserve">can </w:t>
      </w:r>
      <w:r w:rsidRPr="00E53D3E">
        <w:rPr>
          <w:rFonts w:ascii="Calibri" w:hAnsi="Calibri" w:cs="Calibri"/>
          <w:sz w:val="22"/>
          <w:szCs w:val="22"/>
          <w:lang w:val="en-AU"/>
        </w:rPr>
        <w:t>cause pain</w:t>
      </w:r>
      <w:r>
        <w:rPr>
          <w:rFonts w:ascii="Calibri" w:hAnsi="Calibri" w:cs="Calibri"/>
          <w:sz w:val="22"/>
          <w:szCs w:val="22"/>
          <w:lang w:val="en-AU"/>
        </w:rPr>
        <w:t xml:space="preserve"> and discomfort</w:t>
      </w:r>
      <w:r w:rsidRPr="00E53D3E">
        <w:rPr>
          <w:rFonts w:ascii="Calibri" w:hAnsi="Calibri" w:cs="Calibri"/>
          <w:sz w:val="22"/>
          <w:szCs w:val="22"/>
          <w:lang w:val="en-AU"/>
        </w:rPr>
        <w:t xml:space="preserve"> to the patient</w:t>
      </w:r>
      <w:r>
        <w:rPr>
          <w:rFonts w:ascii="Calibri" w:hAnsi="Calibri" w:cs="Calibri"/>
          <w:sz w:val="22"/>
          <w:szCs w:val="22"/>
          <w:lang w:val="en-AU"/>
        </w:rPr>
        <w:t>. T</w:t>
      </w:r>
      <w:r w:rsidRPr="00E53D3E">
        <w:rPr>
          <w:rFonts w:ascii="Calibri" w:hAnsi="Calibri" w:cs="Calibri"/>
          <w:sz w:val="22"/>
          <w:szCs w:val="22"/>
          <w:lang w:val="en-AU"/>
        </w:rPr>
        <w:t>his c</w:t>
      </w:r>
      <w:r>
        <w:rPr>
          <w:rFonts w:ascii="Calibri" w:hAnsi="Calibri" w:cs="Calibri"/>
          <w:sz w:val="22"/>
          <w:szCs w:val="22"/>
          <w:lang w:val="en-AU"/>
        </w:rPr>
        <w:t>ould also</w:t>
      </w:r>
      <w:r w:rsidRPr="00E53D3E">
        <w:rPr>
          <w:rFonts w:ascii="Calibri" w:hAnsi="Calibri" w:cs="Calibri"/>
          <w:sz w:val="22"/>
          <w:szCs w:val="22"/>
          <w:lang w:val="en-AU"/>
        </w:rPr>
        <w:t xml:space="preserve"> lead to inaccurate and untimely diagnoses, since an infection might be present without obvious symptoms. </w:t>
      </w:r>
      <w:r>
        <w:rPr>
          <w:rFonts w:ascii="Calibri" w:hAnsi="Calibri" w:cs="Calibri"/>
          <w:sz w:val="22"/>
          <w:szCs w:val="22"/>
          <w:lang w:val="en-AU"/>
        </w:rPr>
        <w:t>Hence</w:t>
      </w:r>
      <w:r w:rsidRPr="00E53D3E">
        <w:rPr>
          <w:rFonts w:ascii="Calibri" w:hAnsi="Calibri" w:cs="Calibri"/>
          <w:sz w:val="22"/>
          <w:szCs w:val="22"/>
          <w:lang w:val="en-AU"/>
        </w:rPr>
        <w:t xml:space="preserve">, there is a need for more precise methods of detecting infections, with minimal effects to the patient. Comparison of temperature differences between </w:t>
      </w:r>
      <w:r>
        <w:rPr>
          <w:rFonts w:ascii="Calibri" w:hAnsi="Calibri" w:cs="Calibri"/>
          <w:sz w:val="22"/>
          <w:szCs w:val="22"/>
          <w:lang w:val="en-AU"/>
        </w:rPr>
        <w:t>healthy and infected tissue</w:t>
      </w:r>
      <w:r w:rsidRPr="00E53D3E">
        <w:rPr>
          <w:rFonts w:ascii="Calibri" w:hAnsi="Calibri" w:cs="Calibri"/>
          <w:sz w:val="22"/>
          <w:szCs w:val="22"/>
          <w:lang w:val="en-AU"/>
        </w:rPr>
        <w:t xml:space="preserve"> shows an increase</w:t>
      </w:r>
      <w:r>
        <w:rPr>
          <w:rFonts w:ascii="Calibri" w:hAnsi="Calibri" w:cs="Calibri"/>
          <w:sz w:val="22"/>
          <w:szCs w:val="22"/>
          <w:lang w:val="en-AU"/>
        </w:rPr>
        <w:t xml:space="preserve"> of </w:t>
      </w:r>
      <w:r w:rsidRPr="00E53D3E">
        <w:rPr>
          <w:rFonts w:ascii="Calibri" w:hAnsi="Calibri" w:cs="Calibri"/>
          <w:sz w:val="22"/>
          <w:szCs w:val="22"/>
          <w:lang w:val="en-AU"/>
        </w:rPr>
        <w:t>3-4 °C</w:t>
      </w:r>
      <w:r>
        <w:rPr>
          <w:rFonts w:ascii="Calibri" w:hAnsi="Calibri" w:cs="Calibri"/>
          <w:sz w:val="22"/>
          <w:szCs w:val="22"/>
          <w:lang w:val="en-AU"/>
        </w:rPr>
        <w:t xml:space="preserve"> in infected tissue</w:t>
      </w:r>
      <w:r w:rsidRPr="00E53D3E">
        <w:rPr>
          <w:rFonts w:ascii="Calibri" w:hAnsi="Calibri" w:cs="Calibri"/>
          <w:sz w:val="22"/>
          <w:szCs w:val="22"/>
          <w:lang w:val="en-AU"/>
        </w:rPr>
        <w:t>, while normal skin has a temperature gradient of ±1 °C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93E38">
        <w:rPr>
          <w:rFonts w:ascii="Calibri" w:hAnsi="Calibri" w:cs="Calibri"/>
          <w:noProof/>
          <w:sz w:val="22"/>
          <w:szCs w:val="22"/>
          <w:lang w:val="en-AU"/>
        </w:rPr>
        <w:t xml:space="preserve">(Chanmugam </w:t>
      </w:r>
      <w:r w:rsidR="00D93E38">
        <w:rPr>
          <w:rFonts w:ascii="Calibri" w:hAnsi="Calibri" w:cs="Calibri"/>
          <w:i/>
          <w:noProof/>
          <w:sz w:val="22"/>
          <w:szCs w:val="22"/>
          <w:lang w:val="en-AU"/>
        </w:rPr>
        <w:t>et al</w:t>
      </w:r>
      <w:r w:rsidR="00D93E38">
        <w:rPr>
          <w:rFonts w:ascii="Calibri" w:hAnsi="Calibri" w:cs="Calibri"/>
          <w:noProof/>
          <w:sz w:val="22"/>
          <w:szCs w:val="22"/>
          <w:lang w:val="en-AU"/>
        </w:rPr>
        <w:t>. 2017)</w:t>
      </w:r>
      <w:r w:rsidRPr="00E53D3E">
        <w:rPr>
          <w:rFonts w:ascii="Calibri" w:hAnsi="Calibri" w:cs="Calibri"/>
          <w:sz w:val="22"/>
          <w:szCs w:val="22"/>
          <w:lang w:val="en-AU"/>
        </w:rPr>
        <w:t>.</w:t>
      </w:r>
      <w:r>
        <w:rPr>
          <w:rFonts w:ascii="Calibri" w:hAnsi="Calibri" w:cs="Calibri"/>
          <w:sz w:val="22"/>
          <w:szCs w:val="22"/>
          <w:lang w:val="en-AU"/>
        </w:rPr>
        <w:t xml:space="preserve"> Hence,</w:t>
      </w:r>
      <w:r w:rsidRPr="00E53D3E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monitoring the temperature of a wound site can be used as a tool for detecting the presence of an infection.</w:t>
      </w:r>
    </w:p>
    <w:p w14:paraId="32361EF5" w14:textId="77777777" w:rsidR="00B4579F" w:rsidRPr="00E53D3E" w:rsidRDefault="00B4579F" w:rsidP="00DD15ED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614E6AC7" w14:textId="77777777" w:rsidR="00B4579F" w:rsidRDefault="00B4579F" w:rsidP="00DD15ED">
      <w:pPr>
        <w:jc w:val="both"/>
        <w:rPr>
          <w:rFonts w:ascii="Calibri" w:hAnsi="Calibri" w:cs="Calibri"/>
          <w:sz w:val="22"/>
          <w:szCs w:val="22"/>
          <w:lang w:val="en-AU"/>
        </w:rPr>
        <w:sectPr w:rsidR="00B4579F" w:rsidSect="00DD15ED">
          <w:pgSz w:w="11906" w:h="16838"/>
          <w:pgMar w:top="1440" w:right="1440" w:bottom="1440" w:left="1134" w:header="708" w:footer="708" w:gutter="0"/>
          <w:cols w:space="708"/>
          <w:docGrid w:linePitch="360"/>
        </w:sectPr>
      </w:pPr>
    </w:p>
    <w:p w14:paraId="186342F7" w14:textId="3095AF9F" w:rsidR="00B4579F" w:rsidRDefault="007D3EF1" w:rsidP="00DD15ED">
      <w:pPr>
        <w:ind w:right="4251"/>
        <w:jc w:val="both"/>
        <w:rPr>
          <w:rFonts w:ascii="Calibri" w:hAnsi="Calibri" w:cs="Calibri"/>
          <w:sz w:val="22"/>
          <w:szCs w:val="22"/>
          <w:lang w:val="en-AU"/>
        </w:rPr>
        <w:sectPr w:rsidR="00B4579F" w:rsidSect="00DD15ED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28685A"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AF729F" wp14:editId="0C88E76F">
                <wp:simplePos x="0" y="0"/>
                <wp:positionH relativeFrom="margin">
                  <wp:align>right</wp:align>
                </wp:positionH>
                <wp:positionV relativeFrom="paragraph">
                  <wp:posOffset>1734820</wp:posOffset>
                </wp:positionV>
                <wp:extent cx="2339975" cy="116205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886D" w14:textId="29A8DC32" w:rsidR="00B4579F" w:rsidRPr="00D93E38" w:rsidRDefault="00B4579F" w:rsidP="007D3EF1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>Fig</w:t>
                            </w:r>
                            <w:r w:rsidR="00D93E38"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>.</w:t>
                            </w:r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1</w:t>
                            </w:r>
                            <w:r w:rsidR="00D93E38"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>.</w:t>
                            </w:r>
                            <w:r w:rsidR="007D3EF1"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>Optically detected magnetic resonance</w:t>
                            </w:r>
                            <w:r w:rsidR="007D3EF1"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>spectra of</w:t>
                            </w:r>
                            <w:r w:rsidR="007D3EF1"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fluorescent</w:t>
                            </w:r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>nanodiamonds</w:t>
                            </w:r>
                            <w:proofErr w:type="spellEnd"/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containing negatively charged nitrogen-vacanc</w:t>
                            </w:r>
                            <w:r w:rsidR="00927E4B"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>y</w:t>
                            </w:r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(NV</w:t>
                            </w:r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vertAlign w:val="superscript"/>
                                <w:lang w:val="en-AU"/>
                              </w:rPr>
                              <w:t>-</w:t>
                            </w:r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>) centres at</w:t>
                            </w:r>
                            <w:r w:rsidR="007D3EF1"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different</w:t>
                            </w:r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temperatures</w:t>
                            </w:r>
                            <w:r w:rsidR="00D93E38"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(Khalid </w:t>
                            </w:r>
                            <w:r w:rsidR="00D93E38" w:rsidRPr="00D93E38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>et aI.</w:t>
                            </w:r>
                            <w:r w:rsidR="00D93E38"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2019)</w:t>
                            </w:r>
                            <w:r w:rsidRPr="00D93E3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F7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05pt;margin-top:136.6pt;width:184.25pt;height:91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" stroked="f">
                <v:textbox>
                  <w:txbxContent>
                    <w:p w14:paraId="3652886D" w14:textId="29A8DC32" w:rsidR="00B4579F" w:rsidRPr="00D93E38" w:rsidRDefault="00B4579F" w:rsidP="007D3EF1">
                      <w:pPr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</w:pPr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>Fig</w:t>
                      </w:r>
                      <w:r w:rsidR="00D93E38"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>.</w:t>
                      </w:r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1</w:t>
                      </w:r>
                      <w:r w:rsidR="00D93E38"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>.</w:t>
                      </w:r>
                      <w:r w:rsidR="007D3EF1"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>Optically detected magnetic resonance</w:t>
                      </w:r>
                      <w:r w:rsidR="007D3EF1"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>spectra of</w:t>
                      </w:r>
                      <w:r w:rsidR="007D3EF1"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fluorescent</w:t>
                      </w:r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proofErr w:type="spellStart"/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>nanodiamonds</w:t>
                      </w:r>
                      <w:proofErr w:type="spellEnd"/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containing negatively charged nitrogen-vacanc</w:t>
                      </w:r>
                      <w:r w:rsidR="00927E4B"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>y</w:t>
                      </w:r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(NV</w:t>
                      </w:r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vertAlign w:val="superscript"/>
                          <w:lang w:val="en-AU"/>
                        </w:rPr>
                        <w:t>-</w:t>
                      </w:r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>) centres at</w:t>
                      </w:r>
                      <w:r w:rsidR="007D3EF1"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different</w:t>
                      </w:r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temperatures</w:t>
                      </w:r>
                      <w:r w:rsidR="00D93E38"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(Khalid </w:t>
                      </w:r>
                      <w:r w:rsidR="00D93E38" w:rsidRPr="00D93E38"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  <w:lang w:val="en-AU"/>
                        </w:rPr>
                        <w:t>et aI.</w:t>
                      </w:r>
                      <w:r w:rsidR="00D93E38"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 xml:space="preserve"> 2019)</w:t>
                      </w:r>
                      <w:r w:rsidRPr="00D93E38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AU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579F" w:rsidRPr="0093194F">
        <w:rPr>
          <w:rFonts w:ascii="Calibri" w:hAnsi="Calibri" w:cs="Calibri"/>
          <w:noProof/>
          <w:sz w:val="22"/>
          <w:szCs w:val="22"/>
          <w:lang w:val="en-AU"/>
        </w:rPr>
        <w:drawing>
          <wp:anchor distT="0" distB="0" distL="114300" distR="114300" simplePos="0" relativeHeight="251659264" behindDoc="0" locked="0" layoutInCell="1" allowOverlap="1" wp14:anchorId="1836EED0" wp14:editId="44ABD6F7">
            <wp:simplePos x="0" y="0"/>
            <wp:positionH relativeFrom="margin">
              <wp:posOffset>3579882</wp:posOffset>
            </wp:positionH>
            <wp:positionV relativeFrom="paragraph">
              <wp:posOffset>89314</wp:posOffset>
            </wp:positionV>
            <wp:extent cx="2340000" cy="1664422"/>
            <wp:effectExtent l="0" t="0" r="3175" b="0"/>
            <wp:wrapSquare wrapText="bothSides"/>
            <wp:docPr id="1" name="Picture 1" descr="\\rmit.internal\USRHome\el6\E85006\My Received Files\odmt nds in silk fib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mit.internal\USRHome\el6\E85006\My Received Files\odmt nds in silk fibres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7" r="9603"/>
                    <a:stretch/>
                  </pic:blipFill>
                  <pic:spPr bwMode="auto">
                    <a:xfrm>
                      <a:off x="0" y="0"/>
                      <a:ext cx="2340000" cy="166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Here we investigate the use of </w:t>
      </w:r>
      <w:proofErr w:type="spellStart"/>
      <w:r w:rsidR="00B4579F">
        <w:rPr>
          <w:rFonts w:ascii="Calibri" w:hAnsi="Calibri" w:cs="Calibri"/>
          <w:sz w:val="22"/>
          <w:szCs w:val="22"/>
          <w:lang w:val="en-AU"/>
        </w:rPr>
        <w:t>n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>anodiamonds</w:t>
      </w:r>
      <w:proofErr w:type="spellEnd"/>
      <w:r w:rsidR="00B4579F" w:rsidRPr="00E53D3E">
        <w:rPr>
          <w:rFonts w:ascii="Calibri" w:hAnsi="Calibri" w:cs="Calibri"/>
          <w:sz w:val="22"/>
          <w:szCs w:val="22"/>
          <w:lang w:val="en-AU"/>
        </w:rPr>
        <w:t xml:space="preserve"> (</w:t>
      </w:r>
      <w:proofErr w:type="spellStart"/>
      <w:r w:rsidR="00B4579F" w:rsidRPr="00E53D3E">
        <w:rPr>
          <w:rFonts w:ascii="Calibri" w:hAnsi="Calibri" w:cs="Calibri"/>
          <w:sz w:val="22"/>
          <w:szCs w:val="22"/>
          <w:lang w:val="en-AU"/>
        </w:rPr>
        <w:t>NDs</w:t>
      </w:r>
      <w:proofErr w:type="spellEnd"/>
      <w:r w:rsidR="00B4579F" w:rsidRPr="00E53D3E">
        <w:rPr>
          <w:rFonts w:ascii="Calibri" w:hAnsi="Calibri" w:cs="Calibri"/>
          <w:sz w:val="22"/>
          <w:szCs w:val="22"/>
          <w:lang w:val="en-AU"/>
        </w:rPr>
        <w:t>) containing negatively charged nitrogen-vacancy (NV</w:t>
      </w:r>
      <w:r w:rsidR="00B4579F" w:rsidRPr="00C6587D">
        <w:rPr>
          <w:rFonts w:ascii="Calibri" w:hAnsi="Calibri" w:cs="Calibri"/>
          <w:sz w:val="22"/>
          <w:szCs w:val="22"/>
          <w:vertAlign w:val="superscript"/>
          <w:lang w:val="en-AU"/>
        </w:rPr>
        <w:t>-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 xml:space="preserve">) centres </w:t>
      </w:r>
      <w:r w:rsidR="00B4579F">
        <w:rPr>
          <w:rFonts w:ascii="Calibri" w:hAnsi="Calibri" w:cs="Calibri"/>
          <w:sz w:val="22"/>
          <w:szCs w:val="22"/>
          <w:lang w:val="en-AU"/>
        </w:rPr>
        <w:t>for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4579F">
        <w:rPr>
          <w:rFonts w:ascii="Calibri" w:hAnsi="Calibri" w:cs="Calibri"/>
          <w:sz w:val="22"/>
          <w:szCs w:val="22"/>
          <w:lang w:val="en-AU"/>
        </w:rPr>
        <w:t>tracking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these 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>changes in temperature</w:t>
      </w:r>
      <w:r w:rsidR="00B4579F">
        <w:rPr>
          <w:rFonts w:ascii="Calibri" w:hAnsi="Calibri" w:cs="Calibri"/>
          <w:sz w:val="22"/>
          <w:szCs w:val="22"/>
          <w:lang w:val="en-AU"/>
        </w:rPr>
        <w:t>.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4579F">
        <w:rPr>
          <w:rFonts w:ascii="Calibri" w:hAnsi="Calibri" w:cs="Calibri"/>
          <w:sz w:val="22"/>
          <w:szCs w:val="22"/>
          <w:lang w:val="en-AU"/>
        </w:rPr>
        <w:t>The optically detected magnetic resonance (</w:t>
      </w:r>
      <w:proofErr w:type="spellStart"/>
      <w:r w:rsidR="00B4579F">
        <w:rPr>
          <w:rFonts w:ascii="Calibri" w:hAnsi="Calibri" w:cs="Calibri"/>
          <w:sz w:val="22"/>
          <w:szCs w:val="22"/>
          <w:lang w:val="en-AU"/>
        </w:rPr>
        <w:t>ODMR</w:t>
      </w:r>
      <w:proofErr w:type="spellEnd"/>
      <w:r w:rsidR="00B4579F">
        <w:rPr>
          <w:rFonts w:ascii="Calibri" w:hAnsi="Calibri" w:cs="Calibri"/>
          <w:sz w:val="22"/>
          <w:szCs w:val="22"/>
          <w:lang w:val="en-AU"/>
        </w:rPr>
        <w:t>) of the NV</w:t>
      </w:r>
      <w:r w:rsidR="00B4579F">
        <w:rPr>
          <w:rFonts w:ascii="Calibri" w:hAnsi="Calibri" w:cs="Calibri"/>
          <w:sz w:val="22"/>
          <w:szCs w:val="22"/>
          <w:vertAlign w:val="superscript"/>
          <w:lang w:val="en-AU"/>
        </w:rPr>
        <w:t>-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 centre provides a </w:t>
      </w:r>
      <w:r w:rsidR="00EE0AC6">
        <w:rPr>
          <w:rFonts w:ascii="Calibri" w:hAnsi="Calibri" w:cs="Calibri"/>
          <w:sz w:val="22"/>
          <w:szCs w:val="22"/>
          <w:lang w:val="en-AU"/>
        </w:rPr>
        <w:t xml:space="preserve">possible index of temperature variation, since the </w:t>
      </w:r>
      <w:proofErr w:type="spellStart"/>
      <w:r w:rsidR="00EE0AC6">
        <w:rPr>
          <w:rFonts w:ascii="Calibri" w:hAnsi="Calibri" w:cs="Calibri"/>
          <w:sz w:val="22"/>
          <w:szCs w:val="22"/>
          <w:lang w:val="en-AU"/>
        </w:rPr>
        <w:t>ODMR</w:t>
      </w:r>
      <w:proofErr w:type="spellEnd"/>
      <w:r w:rsidR="00EE0AC6">
        <w:rPr>
          <w:rFonts w:ascii="Calibri" w:hAnsi="Calibri" w:cs="Calibri"/>
          <w:sz w:val="22"/>
          <w:szCs w:val="22"/>
          <w:lang w:val="en-AU"/>
        </w:rPr>
        <w:t xml:space="preserve"> frequenc</w:t>
      </w:r>
      <w:r w:rsidR="00EB0B1D">
        <w:rPr>
          <w:rFonts w:ascii="Calibri" w:hAnsi="Calibri" w:cs="Calibri"/>
          <w:sz w:val="22"/>
          <w:szCs w:val="22"/>
          <w:lang w:val="en-AU"/>
        </w:rPr>
        <w:t>y</w:t>
      </w:r>
      <w:r w:rsidR="00FA387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E0AC6">
        <w:rPr>
          <w:rFonts w:ascii="Calibri" w:hAnsi="Calibri" w:cs="Calibri"/>
          <w:sz w:val="22"/>
          <w:szCs w:val="22"/>
          <w:lang w:val="en-AU"/>
        </w:rPr>
        <w:t>shifts</w:t>
      </w:r>
      <w:r w:rsidR="00EB0B1D">
        <w:rPr>
          <w:rFonts w:ascii="Calibri" w:hAnsi="Calibri" w:cs="Calibri"/>
          <w:sz w:val="22"/>
          <w:szCs w:val="22"/>
          <w:lang w:val="en-AU"/>
        </w:rPr>
        <w:t xml:space="preserve"> predictably</w:t>
      </w:r>
      <w:r w:rsidR="00EE0AC6">
        <w:rPr>
          <w:rFonts w:ascii="Calibri" w:hAnsi="Calibri" w:cs="Calibri"/>
          <w:sz w:val="22"/>
          <w:szCs w:val="22"/>
          <w:lang w:val="en-AU"/>
        </w:rPr>
        <w:t xml:space="preserve"> with increase in temperature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 (Fig</w:t>
      </w:r>
      <w:r w:rsidR="00D93E38">
        <w:rPr>
          <w:rFonts w:ascii="Calibri" w:hAnsi="Calibri" w:cs="Calibri"/>
          <w:sz w:val="22"/>
          <w:szCs w:val="22"/>
          <w:lang w:val="en-AU"/>
        </w:rPr>
        <w:t>.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 1)</w:t>
      </w:r>
      <w:r w:rsidR="00DD15E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93E38">
        <w:rPr>
          <w:rFonts w:ascii="Calibri" w:hAnsi="Calibri" w:cs="Calibri"/>
          <w:sz w:val="22"/>
          <w:szCs w:val="22"/>
          <w:lang w:val="en-AU"/>
        </w:rPr>
        <w:t xml:space="preserve">(Khalid </w:t>
      </w:r>
      <w:r w:rsidR="00D93E38">
        <w:rPr>
          <w:rFonts w:ascii="Calibri" w:hAnsi="Calibri" w:cs="Calibri"/>
          <w:i/>
          <w:sz w:val="22"/>
          <w:szCs w:val="22"/>
          <w:lang w:val="en-AU"/>
        </w:rPr>
        <w:t>et al</w:t>
      </w:r>
      <w:r w:rsidR="00D93E38">
        <w:rPr>
          <w:rFonts w:ascii="Calibri" w:hAnsi="Calibri" w:cs="Calibri"/>
          <w:sz w:val="22"/>
          <w:szCs w:val="22"/>
          <w:lang w:val="en-AU"/>
        </w:rPr>
        <w:t>. 2019)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. Hence these </w:t>
      </w:r>
      <w:proofErr w:type="spellStart"/>
      <w:r w:rsidR="00B4579F">
        <w:rPr>
          <w:rFonts w:ascii="Calibri" w:hAnsi="Calibri" w:cs="Calibri"/>
          <w:sz w:val="22"/>
          <w:szCs w:val="22"/>
          <w:lang w:val="en-AU"/>
        </w:rPr>
        <w:t>NDs</w:t>
      </w:r>
      <w:proofErr w:type="spellEnd"/>
      <w:r w:rsidR="00B4579F">
        <w:rPr>
          <w:rFonts w:ascii="Calibri" w:hAnsi="Calibri" w:cs="Calibri"/>
          <w:sz w:val="22"/>
          <w:szCs w:val="22"/>
          <w:lang w:val="en-AU"/>
        </w:rPr>
        <w:t xml:space="preserve"> show </w:t>
      </w:r>
      <w:r w:rsidR="00EE0AC6">
        <w:rPr>
          <w:rFonts w:ascii="Calibri" w:hAnsi="Calibri" w:cs="Calibri"/>
          <w:sz w:val="22"/>
          <w:szCs w:val="22"/>
          <w:lang w:val="en-AU"/>
        </w:rPr>
        <w:t xml:space="preserve">preliminary proof-of-principal 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for tracking thermal variations at a wound site, 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 xml:space="preserve">with minimal influence by environmental factors such as pH, ion concentration or molecular interaction. </w:t>
      </w:r>
      <w:r w:rsidR="00B4579F">
        <w:rPr>
          <w:rFonts w:ascii="Calibri" w:hAnsi="Calibri" w:cs="Calibri"/>
          <w:sz w:val="22"/>
          <w:szCs w:val="22"/>
          <w:lang w:val="en-AU"/>
        </w:rPr>
        <w:t>Silk fibres are used as the wound dressing matrix to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 xml:space="preserve"> encapsulat</w:t>
      </w:r>
      <w:r w:rsidR="00B4579F">
        <w:rPr>
          <w:rFonts w:ascii="Calibri" w:hAnsi="Calibri" w:cs="Calibri"/>
          <w:sz w:val="22"/>
          <w:szCs w:val="22"/>
          <w:lang w:val="en-AU"/>
        </w:rPr>
        <w:t>e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 xml:space="preserve"> these </w:t>
      </w:r>
      <w:proofErr w:type="spellStart"/>
      <w:r w:rsidR="00B4579F" w:rsidRPr="00E53D3E">
        <w:rPr>
          <w:rFonts w:ascii="Calibri" w:hAnsi="Calibri" w:cs="Calibri"/>
          <w:sz w:val="22"/>
          <w:szCs w:val="22"/>
          <w:lang w:val="en-AU"/>
        </w:rPr>
        <w:t>NDs</w:t>
      </w:r>
      <w:proofErr w:type="spellEnd"/>
      <w:r w:rsidR="00B4579F">
        <w:rPr>
          <w:rFonts w:ascii="Calibri" w:hAnsi="Calibri" w:cs="Calibri"/>
          <w:sz w:val="22"/>
          <w:szCs w:val="22"/>
          <w:lang w:val="en-AU"/>
        </w:rPr>
        <w:t xml:space="preserve"> and t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>o further enhance the wound healing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>and anti-bacterial properties, the silk fibres</w:t>
      </w:r>
      <w:r w:rsidR="00EB0B1D">
        <w:rPr>
          <w:rFonts w:ascii="Calibri" w:hAnsi="Calibri" w:cs="Calibri"/>
          <w:sz w:val="22"/>
          <w:szCs w:val="22"/>
          <w:lang w:val="en-AU"/>
        </w:rPr>
        <w:t xml:space="preserve"> are incorporated with curcumin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93E38">
        <w:rPr>
          <w:rFonts w:ascii="Calibri" w:hAnsi="Calibri" w:cs="Calibri"/>
          <w:noProof/>
          <w:sz w:val="22"/>
          <w:szCs w:val="22"/>
          <w:lang w:val="en-AU"/>
        </w:rPr>
        <w:t xml:space="preserve">(Akbik </w:t>
      </w:r>
      <w:r w:rsidR="00D93E38">
        <w:rPr>
          <w:rFonts w:ascii="Calibri" w:hAnsi="Calibri" w:cs="Calibri"/>
          <w:i/>
          <w:noProof/>
          <w:sz w:val="22"/>
          <w:szCs w:val="22"/>
          <w:lang w:val="en-AU"/>
        </w:rPr>
        <w:t>et al</w:t>
      </w:r>
      <w:r w:rsidR="00D93E38">
        <w:rPr>
          <w:rFonts w:ascii="Calibri" w:hAnsi="Calibri" w:cs="Calibri"/>
          <w:noProof/>
          <w:sz w:val="22"/>
          <w:szCs w:val="22"/>
          <w:lang w:val="en-AU"/>
        </w:rPr>
        <w:t>. 2014)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This will result in a </w:t>
      </w:r>
      <w:r w:rsidR="00B4579F" w:rsidRPr="00E53D3E">
        <w:rPr>
          <w:rFonts w:ascii="Calibri" w:hAnsi="Calibri" w:cs="Calibri"/>
          <w:sz w:val="22"/>
          <w:szCs w:val="22"/>
          <w:lang w:val="en-AU"/>
        </w:rPr>
        <w:t>wound dressing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 that is capable</w:t>
      </w:r>
      <w:r w:rsidR="00EB0B1D">
        <w:rPr>
          <w:rFonts w:ascii="Calibri" w:hAnsi="Calibri" w:cs="Calibri"/>
          <w:sz w:val="22"/>
          <w:szCs w:val="22"/>
          <w:lang w:val="en-AU"/>
        </w:rPr>
        <w:t xml:space="preserve"> of</w:t>
      </w:r>
      <w:r w:rsidR="00B4579F">
        <w:rPr>
          <w:rFonts w:ascii="Calibri" w:hAnsi="Calibri" w:cs="Calibri"/>
          <w:sz w:val="22"/>
          <w:szCs w:val="22"/>
          <w:lang w:val="en-AU"/>
        </w:rPr>
        <w:t xml:space="preserve"> sensing and monitoring temperature </w:t>
      </w:r>
      <w:r>
        <w:rPr>
          <w:rFonts w:ascii="Calibri" w:hAnsi="Calibri" w:cs="Calibri"/>
          <w:sz w:val="22"/>
          <w:szCs w:val="22"/>
          <w:lang w:val="en-AU"/>
        </w:rPr>
        <w:t xml:space="preserve">changes </w:t>
      </w:r>
      <w:r w:rsidR="00B4579F">
        <w:rPr>
          <w:rFonts w:ascii="Calibri" w:hAnsi="Calibri" w:cs="Calibri"/>
          <w:sz w:val="22"/>
          <w:szCs w:val="22"/>
          <w:lang w:val="en-AU"/>
        </w:rPr>
        <w:t>at a wound site, without the need for frequent removal of the wound dressing.</w:t>
      </w:r>
    </w:p>
    <w:p w14:paraId="330CBC12" w14:textId="77777777" w:rsidR="00B4579F" w:rsidRDefault="00B4579F" w:rsidP="00B4579F">
      <w:pPr>
        <w:ind w:left="284"/>
        <w:jc w:val="both"/>
        <w:rPr>
          <w:rFonts w:ascii="Calibri" w:hAnsi="Calibri" w:cs="Calibri"/>
          <w:sz w:val="22"/>
          <w:szCs w:val="22"/>
          <w:lang w:val="en-AU"/>
        </w:rPr>
        <w:sectPr w:rsidR="00B4579F" w:rsidSect="00C6587D">
          <w:type w:val="continuous"/>
          <w:pgSz w:w="11906" w:h="16838" w:code="9"/>
          <w:pgMar w:top="1134" w:right="1134" w:bottom="1134" w:left="1134" w:header="709" w:footer="709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A97DD2D" w14:textId="77777777" w:rsidR="00B4579F" w:rsidRPr="0093194F" w:rsidRDefault="00B4579F" w:rsidP="00B4579F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7F0CCAA1" w14:textId="39D79BC0" w:rsidR="00B4579F" w:rsidRPr="0093194F" w:rsidRDefault="00B4579F" w:rsidP="00DD15ED">
      <w:pPr>
        <w:pStyle w:val="EndNoteBibliography"/>
        <w:ind w:left="284" w:hanging="284"/>
        <w:rPr>
          <w:rFonts w:asciiTheme="minorHAnsi" w:hAnsiTheme="minorHAnsi"/>
          <w:sz w:val="22"/>
          <w:szCs w:val="22"/>
        </w:rPr>
      </w:pPr>
      <w:r w:rsidRPr="0093194F">
        <w:rPr>
          <w:rFonts w:asciiTheme="minorHAnsi" w:hAnsiTheme="minorHAnsi"/>
          <w:sz w:val="22"/>
          <w:szCs w:val="22"/>
        </w:rPr>
        <w:t>1.</w:t>
      </w:r>
      <w:r w:rsidRPr="0093194F">
        <w:rPr>
          <w:rFonts w:asciiTheme="minorHAnsi" w:hAnsiTheme="minorHAnsi"/>
          <w:sz w:val="22"/>
          <w:szCs w:val="22"/>
        </w:rPr>
        <w:tab/>
        <w:t xml:space="preserve">Chanmugam, </w:t>
      </w:r>
      <w:r w:rsidR="00DD15ED">
        <w:rPr>
          <w:rFonts w:asciiTheme="minorHAnsi" w:hAnsiTheme="minorHAnsi"/>
          <w:sz w:val="22"/>
          <w:szCs w:val="22"/>
        </w:rPr>
        <w:t xml:space="preserve">A., </w:t>
      </w:r>
      <w:r w:rsidRPr="0093194F">
        <w:rPr>
          <w:rFonts w:asciiTheme="minorHAnsi" w:hAnsiTheme="minorHAnsi"/>
          <w:sz w:val="22"/>
          <w:szCs w:val="22"/>
        </w:rPr>
        <w:t xml:space="preserve">Langemo, </w:t>
      </w:r>
      <w:r w:rsidR="00DD15ED">
        <w:rPr>
          <w:rFonts w:asciiTheme="minorHAnsi" w:hAnsiTheme="minorHAnsi"/>
          <w:sz w:val="22"/>
          <w:szCs w:val="22"/>
        </w:rPr>
        <w:t xml:space="preserve">D., </w:t>
      </w:r>
      <w:r w:rsidRPr="0093194F">
        <w:rPr>
          <w:rFonts w:asciiTheme="minorHAnsi" w:hAnsiTheme="minorHAnsi"/>
          <w:sz w:val="22"/>
          <w:szCs w:val="22"/>
        </w:rPr>
        <w:t xml:space="preserve">Thomason, </w:t>
      </w:r>
      <w:r w:rsidR="00DD15ED">
        <w:rPr>
          <w:rFonts w:asciiTheme="minorHAnsi" w:hAnsiTheme="minorHAnsi"/>
          <w:sz w:val="22"/>
          <w:szCs w:val="22"/>
        </w:rPr>
        <w:t xml:space="preserve">K., </w:t>
      </w:r>
      <w:r w:rsidRPr="0093194F">
        <w:rPr>
          <w:rFonts w:asciiTheme="minorHAnsi" w:hAnsiTheme="minorHAnsi"/>
          <w:sz w:val="22"/>
          <w:szCs w:val="22"/>
        </w:rPr>
        <w:t>Haan,</w:t>
      </w:r>
      <w:r w:rsidR="00DD15ED">
        <w:rPr>
          <w:rFonts w:asciiTheme="minorHAnsi" w:hAnsiTheme="minorHAnsi"/>
          <w:sz w:val="22"/>
          <w:szCs w:val="22"/>
        </w:rPr>
        <w:t xml:space="preserve"> J., </w:t>
      </w:r>
      <w:r w:rsidRPr="0093194F">
        <w:rPr>
          <w:rFonts w:asciiTheme="minorHAnsi" w:hAnsiTheme="minorHAnsi"/>
          <w:sz w:val="22"/>
          <w:szCs w:val="22"/>
        </w:rPr>
        <w:t>Altenburger,</w:t>
      </w:r>
      <w:r w:rsidR="00DD15ED">
        <w:rPr>
          <w:rFonts w:asciiTheme="minorHAnsi" w:hAnsiTheme="minorHAnsi"/>
          <w:sz w:val="22"/>
          <w:szCs w:val="22"/>
        </w:rPr>
        <w:t xml:space="preserve"> E. A., </w:t>
      </w:r>
      <w:r w:rsidRPr="0093194F">
        <w:rPr>
          <w:rFonts w:asciiTheme="minorHAnsi" w:hAnsiTheme="minorHAnsi"/>
          <w:sz w:val="22"/>
          <w:szCs w:val="22"/>
        </w:rPr>
        <w:t>Tippett,</w:t>
      </w:r>
      <w:r w:rsidR="00DD15ED">
        <w:rPr>
          <w:rFonts w:asciiTheme="minorHAnsi" w:hAnsiTheme="minorHAnsi"/>
          <w:sz w:val="22"/>
          <w:szCs w:val="22"/>
        </w:rPr>
        <w:t xml:space="preserve"> A., </w:t>
      </w:r>
      <w:r w:rsidRPr="0093194F">
        <w:rPr>
          <w:rFonts w:asciiTheme="minorHAnsi" w:hAnsiTheme="minorHAnsi"/>
          <w:sz w:val="22"/>
          <w:szCs w:val="22"/>
        </w:rPr>
        <w:t>Henderson,</w:t>
      </w:r>
      <w:r w:rsidR="00DD15ED">
        <w:rPr>
          <w:rFonts w:asciiTheme="minorHAnsi" w:hAnsiTheme="minorHAnsi"/>
          <w:sz w:val="22"/>
          <w:szCs w:val="22"/>
        </w:rPr>
        <w:t xml:space="preserve"> L. &amp;</w:t>
      </w:r>
      <w:r w:rsidRPr="0093194F">
        <w:rPr>
          <w:rFonts w:asciiTheme="minorHAnsi" w:hAnsiTheme="minorHAnsi"/>
          <w:sz w:val="22"/>
          <w:szCs w:val="22"/>
        </w:rPr>
        <w:t xml:space="preserve"> Zortman,</w:t>
      </w:r>
      <w:r w:rsidR="00DD15ED">
        <w:rPr>
          <w:rFonts w:asciiTheme="minorHAnsi" w:hAnsiTheme="minorHAnsi"/>
          <w:sz w:val="22"/>
          <w:szCs w:val="22"/>
        </w:rPr>
        <w:t xml:space="preserve"> T. A. (2017). </w:t>
      </w:r>
      <w:r w:rsidRPr="0093194F">
        <w:rPr>
          <w:rFonts w:asciiTheme="minorHAnsi" w:hAnsiTheme="minorHAnsi"/>
          <w:sz w:val="22"/>
          <w:szCs w:val="22"/>
        </w:rPr>
        <w:t>Relative Temperature Maximum in Wound Infection and Inflammation as Compared with a Control Subject Using Long-Wave Infrared Thermography</w:t>
      </w:r>
      <w:r w:rsidRPr="0093194F">
        <w:rPr>
          <w:rFonts w:asciiTheme="minorHAnsi" w:hAnsiTheme="minorHAnsi"/>
          <w:i/>
          <w:sz w:val="22"/>
          <w:szCs w:val="22"/>
        </w:rPr>
        <w:t>.</w:t>
      </w:r>
      <w:r w:rsidRPr="0093194F">
        <w:rPr>
          <w:rFonts w:asciiTheme="minorHAnsi" w:hAnsiTheme="minorHAnsi"/>
          <w:sz w:val="22"/>
          <w:szCs w:val="22"/>
        </w:rPr>
        <w:t xml:space="preserve"> Adv</w:t>
      </w:r>
      <w:r w:rsidR="00DD15ED">
        <w:rPr>
          <w:rFonts w:asciiTheme="minorHAnsi" w:hAnsiTheme="minorHAnsi"/>
          <w:sz w:val="22"/>
          <w:szCs w:val="22"/>
        </w:rPr>
        <w:t xml:space="preserve"> </w:t>
      </w:r>
      <w:r w:rsidRPr="0093194F">
        <w:rPr>
          <w:rFonts w:asciiTheme="minorHAnsi" w:hAnsiTheme="minorHAnsi"/>
          <w:sz w:val="22"/>
          <w:szCs w:val="22"/>
        </w:rPr>
        <w:t>Skin</w:t>
      </w:r>
      <w:r w:rsidR="00DD15ED">
        <w:rPr>
          <w:rFonts w:asciiTheme="minorHAnsi" w:hAnsiTheme="minorHAnsi"/>
          <w:sz w:val="22"/>
          <w:szCs w:val="22"/>
        </w:rPr>
        <w:t xml:space="preserve"> </w:t>
      </w:r>
      <w:r w:rsidRPr="0093194F">
        <w:rPr>
          <w:rFonts w:asciiTheme="minorHAnsi" w:hAnsiTheme="minorHAnsi"/>
          <w:sz w:val="22"/>
          <w:szCs w:val="22"/>
        </w:rPr>
        <w:t>Wound Care</w:t>
      </w:r>
      <w:r w:rsidR="00DD15ED">
        <w:rPr>
          <w:rFonts w:asciiTheme="minorHAnsi" w:hAnsiTheme="minorHAnsi"/>
          <w:sz w:val="22"/>
          <w:szCs w:val="22"/>
        </w:rPr>
        <w:t>.</w:t>
      </w:r>
      <w:r w:rsidRPr="0093194F">
        <w:rPr>
          <w:rFonts w:asciiTheme="minorHAnsi" w:hAnsiTheme="minorHAnsi"/>
          <w:sz w:val="22"/>
          <w:szCs w:val="22"/>
        </w:rPr>
        <w:t>,</w:t>
      </w:r>
      <w:r w:rsidR="00DD15ED">
        <w:rPr>
          <w:rFonts w:asciiTheme="minorHAnsi" w:hAnsiTheme="minorHAnsi"/>
          <w:sz w:val="22"/>
          <w:szCs w:val="22"/>
        </w:rPr>
        <w:t xml:space="preserve"> 30</w:t>
      </w:r>
      <w:r w:rsidRPr="0093194F">
        <w:rPr>
          <w:rFonts w:asciiTheme="minorHAnsi" w:hAnsiTheme="minorHAnsi"/>
          <w:sz w:val="22"/>
          <w:szCs w:val="22"/>
        </w:rPr>
        <w:t>,</w:t>
      </w:r>
      <w:r w:rsidR="00DD15ED">
        <w:rPr>
          <w:rFonts w:asciiTheme="minorHAnsi" w:hAnsiTheme="minorHAnsi"/>
          <w:sz w:val="22"/>
          <w:szCs w:val="22"/>
        </w:rPr>
        <w:t xml:space="preserve"> </w:t>
      </w:r>
      <w:r w:rsidRPr="0093194F">
        <w:rPr>
          <w:rFonts w:asciiTheme="minorHAnsi" w:hAnsiTheme="minorHAnsi"/>
          <w:sz w:val="22"/>
          <w:szCs w:val="22"/>
        </w:rPr>
        <w:t>406-414.</w:t>
      </w:r>
    </w:p>
    <w:p w14:paraId="699BA6B5" w14:textId="70A04CFC" w:rsidR="00B4579F" w:rsidRPr="0093194F" w:rsidRDefault="00B4579F" w:rsidP="00DD15ED">
      <w:pPr>
        <w:pStyle w:val="EndNoteBibliography"/>
        <w:ind w:left="284" w:hanging="284"/>
        <w:rPr>
          <w:rFonts w:asciiTheme="minorHAnsi" w:hAnsiTheme="minorHAnsi"/>
          <w:sz w:val="22"/>
          <w:szCs w:val="22"/>
        </w:rPr>
      </w:pPr>
      <w:r w:rsidRPr="0093194F">
        <w:rPr>
          <w:rFonts w:asciiTheme="minorHAnsi" w:hAnsiTheme="minorHAnsi"/>
          <w:sz w:val="22"/>
          <w:szCs w:val="22"/>
        </w:rPr>
        <w:t>2.</w:t>
      </w:r>
      <w:r w:rsidRPr="0093194F">
        <w:rPr>
          <w:rFonts w:asciiTheme="minorHAnsi" w:hAnsiTheme="minorHAnsi"/>
          <w:sz w:val="22"/>
          <w:szCs w:val="22"/>
        </w:rPr>
        <w:tab/>
      </w:r>
      <w:r w:rsidRPr="008C086C">
        <w:rPr>
          <w:rFonts w:asciiTheme="minorHAnsi" w:hAnsiTheme="minorHAnsi"/>
          <w:sz w:val="22"/>
          <w:szCs w:val="22"/>
          <w:lang w:val="en-AU"/>
        </w:rPr>
        <w:t>Khalid,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A.,</w:t>
      </w:r>
      <w:r w:rsidRPr="008C086C">
        <w:rPr>
          <w:rFonts w:asciiTheme="minorHAnsi" w:hAnsiTheme="minorHAnsi"/>
          <w:sz w:val="22"/>
          <w:szCs w:val="22"/>
          <w:lang w:val="en-AU"/>
        </w:rPr>
        <w:t> Abraham,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A. N., </w:t>
      </w:r>
      <w:r w:rsidRPr="008C086C">
        <w:rPr>
          <w:rFonts w:asciiTheme="minorHAnsi" w:hAnsiTheme="minorHAnsi"/>
          <w:sz w:val="22"/>
          <w:szCs w:val="22"/>
          <w:lang w:val="en-AU"/>
        </w:rPr>
        <w:t>Jadhav,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A., L</w:t>
      </w:r>
      <w:r w:rsidRPr="008C086C">
        <w:rPr>
          <w:rFonts w:asciiTheme="minorHAnsi" w:hAnsiTheme="minorHAnsi"/>
          <w:sz w:val="22"/>
          <w:szCs w:val="22"/>
          <w:lang w:val="en-AU"/>
        </w:rPr>
        <w:t>inklater,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D., </w:t>
      </w:r>
      <w:r w:rsidRPr="008C086C">
        <w:rPr>
          <w:rFonts w:asciiTheme="minorHAnsi" w:hAnsiTheme="minorHAnsi"/>
          <w:sz w:val="22"/>
          <w:szCs w:val="22"/>
          <w:lang w:val="en-AU"/>
        </w:rPr>
        <w:t>Nguyen,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D., Capelli. M., </w:t>
      </w:r>
      <w:r w:rsidRPr="008C086C">
        <w:rPr>
          <w:rFonts w:asciiTheme="minorHAnsi" w:hAnsiTheme="minorHAnsi"/>
          <w:sz w:val="22"/>
          <w:szCs w:val="22"/>
          <w:lang w:val="en-AU"/>
        </w:rPr>
        <w:t>Bi,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D., </w:t>
      </w:r>
      <w:r w:rsidRPr="008C086C">
        <w:rPr>
          <w:rFonts w:asciiTheme="minorHAnsi" w:hAnsiTheme="minorHAnsi"/>
          <w:sz w:val="22"/>
          <w:szCs w:val="22"/>
          <w:lang w:val="en-AU"/>
        </w:rPr>
        <w:t>Zakhartchouk,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N., </w:t>
      </w:r>
      <w:r w:rsidRPr="008C086C">
        <w:rPr>
          <w:rFonts w:asciiTheme="minorHAnsi" w:hAnsiTheme="minorHAnsi"/>
          <w:sz w:val="22"/>
          <w:szCs w:val="22"/>
          <w:lang w:val="en-AU"/>
        </w:rPr>
        <w:t>Reineck,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P., </w:t>
      </w:r>
      <w:r w:rsidRPr="008C086C">
        <w:rPr>
          <w:rFonts w:asciiTheme="minorHAnsi" w:hAnsiTheme="minorHAnsi"/>
          <w:sz w:val="22"/>
          <w:szCs w:val="22"/>
          <w:lang w:val="en-AU"/>
        </w:rPr>
        <w:t>Houshyar,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S., </w:t>
      </w:r>
      <w:r w:rsidRPr="008C086C">
        <w:rPr>
          <w:rFonts w:asciiTheme="minorHAnsi" w:hAnsiTheme="minorHAnsi"/>
          <w:sz w:val="22"/>
          <w:szCs w:val="22"/>
          <w:lang w:val="en-AU"/>
        </w:rPr>
        <w:t>Ivanova,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E., G</w:t>
      </w:r>
      <w:r w:rsidRPr="008C086C">
        <w:rPr>
          <w:rFonts w:asciiTheme="minorHAnsi" w:hAnsiTheme="minorHAnsi"/>
          <w:sz w:val="22"/>
          <w:szCs w:val="22"/>
          <w:lang w:val="en-AU"/>
        </w:rPr>
        <w:t>reentree,</w:t>
      </w:r>
      <w:r w:rsidR="00DD15ED">
        <w:rPr>
          <w:rFonts w:asciiTheme="minorHAnsi" w:hAnsiTheme="minorHAnsi"/>
          <w:sz w:val="22"/>
          <w:szCs w:val="22"/>
          <w:lang w:val="en-AU"/>
        </w:rPr>
        <w:t xml:space="preserve"> A.,</w:t>
      </w:r>
      <w:r w:rsidRPr="008C086C">
        <w:rPr>
          <w:rFonts w:asciiTheme="minorHAnsi" w:hAnsiTheme="minorHAnsi"/>
          <w:sz w:val="22"/>
          <w:szCs w:val="22"/>
          <w:lang w:val="en-AU"/>
        </w:rPr>
        <w:t xml:space="preserve"> </w:t>
      </w:r>
      <w:r w:rsidR="00DD15ED">
        <w:rPr>
          <w:rFonts w:asciiTheme="minorHAnsi" w:hAnsiTheme="minorHAnsi"/>
          <w:sz w:val="22"/>
          <w:szCs w:val="22"/>
          <w:lang w:val="en-AU"/>
        </w:rPr>
        <w:t>&amp;</w:t>
      </w:r>
      <w:r w:rsidRPr="008C086C">
        <w:rPr>
          <w:rFonts w:asciiTheme="minorHAnsi" w:hAnsiTheme="minorHAnsi"/>
          <w:sz w:val="22"/>
          <w:szCs w:val="22"/>
          <w:lang w:val="en-AU"/>
        </w:rPr>
        <w:t xml:space="preserve"> Gibson</w:t>
      </w:r>
      <w:r w:rsidR="00DD15ED">
        <w:rPr>
          <w:rFonts w:asciiTheme="minorHAnsi" w:hAnsiTheme="minorHAnsi"/>
          <w:sz w:val="22"/>
          <w:szCs w:val="22"/>
          <w:lang w:val="en-AU"/>
        </w:rPr>
        <w:t>, B. C. (2019).</w:t>
      </w:r>
      <w:r w:rsidRPr="008C086C">
        <w:rPr>
          <w:rFonts w:asciiTheme="minorHAnsi" w:hAnsiTheme="minorHAnsi"/>
          <w:sz w:val="22"/>
          <w:szCs w:val="22"/>
          <w:lang w:val="en-AU"/>
        </w:rPr>
        <w:t xml:space="preserve"> </w:t>
      </w:r>
      <w:r w:rsidRPr="008C086C">
        <w:rPr>
          <w:rFonts w:asciiTheme="minorHAnsi" w:hAnsiTheme="minorHAnsi"/>
          <w:bCs/>
          <w:sz w:val="22"/>
          <w:szCs w:val="22"/>
          <w:lang w:val="en-AU"/>
        </w:rPr>
        <w:t>Electrospun silk nanodiamonds fibrous matts for biosensing applications</w:t>
      </w:r>
      <w:r w:rsidR="00DD15ED">
        <w:rPr>
          <w:rFonts w:asciiTheme="minorHAnsi" w:hAnsiTheme="minorHAnsi"/>
          <w:sz w:val="22"/>
          <w:szCs w:val="22"/>
          <w:lang w:val="en-AU"/>
        </w:rPr>
        <w:t>. T</w:t>
      </w:r>
      <w:r w:rsidRPr="008C086C">
        <w:rPr>
          <w:rFonts w:asciiTheme="minorHAnsi" w:hAnsiTheme="minorHAnsi"/>
          <w:sz w:val="22"/>
          <w:szCs w:val="22"/>
          <w:lang w:val="en-AU"/>
        </w:rPr>
        <w:t>o be submitted 15th Sep 2019</w:t>
      </w:r>
      <w:r w:rsidR="00DD15ED">
        <w:rPr>
          <w:rFonts w:asciiTheme="minorHAnsi" w:hAnsiTheme="minorHAnsi"/>
          <w:sz w:val="22"/>
          <w:szCs w:val="22"/>
          <w:lang w:val="en-AU"/>
        </w:rPr>
        <w:t>.</w:t>
      </w:r>
    </w:p>
    <w:p w14:paraId="135753CF" w14:textId="5A6719AF" w:rsidR="00B4579F" w:rsidRPr="0093194F" w:rsidRDefault="00B4579F" w:rsidP="00DD15ED">
      <w:pPr>
        <w:pStyle w:val="EndNoteBibliography"/>
        <w:ind w:left="284" w:hanging="284"/>
        <w:rPr>
          <w:rFonts w:asciiTheme="minorHAnsi" w:hAnsiTheme="minorHAnsi" w:cs="Calibri"/>
          <w:sz w:val="22"/>
          <w:szCs w:val="22"/>
          <w:lang w:val="en-AU"/>
        </w:rPr>
      </w:pPr>
      <w:r w:rsidRPr="0093194F">
        <w:rPr>
          <w:rFonts w:asciiTheme="minorHAnsi" w:hAnsiTheme="minorHAnsi"/>
          <w:sz w:val="22"/>
          <w:szCs w:val="22"/>
        </w:rPr>
        <w:t>3.</w:t>
      </w:r>
      <w:r w:rsidRPr="0093194F">
        <w:rPr>
          <w:rFonts w:asciiTheme="minorHAnsi" w:hAnsiTheme="minorHAnsi"/>
          <w:sz w:val="22"/>
          <w:szCs w:val="22"/>
        </w:rPr>
        <w:tab/>
        <w:t>Akbik,</w:t>
      </w:r>
      <w:r w:rsidR="00DD15ED">
        <w:rPr>
          <w:rFonts w:asciiTheme="minorHAnsi" w:hAnsiTheme="minorHAnsi"/>
          <w:sz w:val="22"/>
          <w:szCs w:val="22"/>
        </w:rPr>
        <w:t xml:space="preserve"> D., </w:t>
      </w:r>
      <w:r w:rsidRPr="0093194F">
        <w:rPr>
          <w:rFonts w:asciiTheme="minorHAnsi" w:hAnsiTheme="minorHAnsi"/>
          <w:sz w:val="22"/>
          <w:szCs w:val="22"/>
        </w:rPr>
        <w:t>Ghadiri,</w:t>
      </w:r>
      <w:r w:rsidR="00DD15ED">
        <w:rPr>
          <w:rFonts w:asciiTheme="minorHAnsi" w:hAnsiTheme="minorHAnsi"/>
          <w:sz w:val="22"/>
          <w:szCs w:val="22"/>
        </w:rPr>
        <w:t xml:space="preserve"> M.,</w:t>
      </w:r>
      <w:r w:rsidRPr="0093194F">
        <w:rPr>
          <w:rFonts w:asciiTheme="minorHAnsi" w:hAnsiTheme="minorHAnsi"/>
          <w:sz w:val="22"/>
          <w:szCs w:val="22"/>
        </w:rPr>
        <w:t xml:space="preserve"> Chrzanowski,</w:t>
      </w:r>
      <w:r w:rsidR="00DD15ED">
        <w:rPr>
          <w:rFonts w:asciiTheme="minorHAnsi" w:hAnsiTheme="minorHAnsi"/>
          <w:sz w:val="22"/>
          <w:szCs w:val="22"/>
        </w:rPr>
        <w:t xml:space="preserve"> W., &amp;</w:t>
      </w:r>
      <w:r w:rsidRPr="0093194F">
        <w:rPr>
          <w:rFonts w:asciiTheme="minorHAnsi" w:hAnsiTheme="minorHAnsi"/>
          <w:sz w:val="22"/>
          <w:szCs w:val="22"/>
        </w:rPr>
        <w:t xml:space="preserve"> Rohanizadeh, </w:t>
      </w:r>
      <w:r w:rsidR="00DD15ED">
        <w:rPr>
          <w:rFonts w:asciiTheme="minorHAnsi" w:hAnsiTheme="minorHAnsi"/>
          <w:sz w:val="22"/>
          <w:szCs w:val="22"/>
        </w:rPr>
        <w:t xml:space="preserve">R. (2014). </w:t>
      </w:r>
      <w:r w:rsidRPr="0093194F">
        <w:rPr>
          <w:rFonts w:asciiTheme="minorHAnsi" w:hAnsiTheme="minorHAnsi"/>
          <w:sz w:val="22"/>
          <w:szCs w:val="22"/>
        </w:rPr>
        <w:t>Curcumin as a wound healing agent</w:t>
      </w:r>
      <w:r w:rsidRPr="0093194F">
        <w:rPr>
          <w:rFonts w:asciiTheme="minorHAnsi" w:hAnsiTheme="minorHAnsi"/>
          <w:i/>
          <w:sz w:val="22"/>
          <w:szCs w:val="22"/>
        </w:rPr>
        <w:t>.</w:t>
      </w:r>
      <w:r w:rsidR="00DD15ED">
        <w:rPr>
          <w:rFonts w:asciiTheme="minorHAnsi" w:hAnsiTheme="minorHAnsi"/>
          <w:i/>
          <w:sz w:val="22"/>
          <w:szCs w:val="22"/>
        </w:rPr>
        <w:t xml:space="preserve"> </w:t>
      </w:r>
      <w:r w:rsidRPr="0093194F">
        <w:rPr>
          <w:rFonts w:asciiTheme="minorHAnsi" w:hAnsiTheme="minorHAnsi"/>
          <w:sz w:val="22"/>
          <w:szCs w:val="22"/>
        </w:rPr>
        <w:t>Life Sci</w:t>
      </w:r>
      <w:r w:rsidR="00DD15ED">
        <w:rPr>
          <w:rFonts w:asciiTheme="minorHAnsi" w:hAnsiTheme="minorHAnsi"/>
          <w:sz w:val="22"/>
          <w:szCs w:val="22"/>
        </w:rPr>
        <w:t>.</w:t>
      </w:r>
      <w:r w:rsidRPr="0093194F">
        <w:rPr>
          <w:rFonts w:asciiTheme="minorHAnsi" w:hAnsiTheme="minorHAnsi"/>
          <w:sz w:val="22"/>
          <w:szCs w:val="22"/>
        </w:rPr>
        <w:t>,</w:t>
      </w:r>
      <w:r w:rsidR="00DD15ED">
        <w:rPr>
          <w:rFonts w:asciiTheme="minorHAnsi" w:hAnsiTheme="minorHAnsi"/>
          <w:sz w:val="22"/>
          <w:szCs w:val="22"/>
        </w:rPr>
        <w:t xml:space="preserve"> </w:t>
      </w:r>
      <w:r w:rsidRPr="0093194F">
        <w:rPr>
          <w:rFonts w:asciiTheme="minorHAnsi" w:hAnsiTheme="minorHAnsi"/>
          <w:sz w:val="22"/>
          <w:szCs w:val="22"/>
        </w:rPr>
        <w:t>116, 1-7.</w:t>
      </w:r>
      <w:bookmarkStart w:id="0" w:name="_GoBack"/>
      <w:bookmarkEnd w:id="0"/>
    </w:p>
    <w:p w14:paraId="3D04292A" w14:textId="7C90A33F" w:rsidR="006C1D89" w:rsidRPr="006C1D89" w:rsidRDefault="009022EC" w:rsidP="00B4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brant.gibson</w:t>
      </w:r>
      <w:r w:rsidR="006C1D89" w:rsidRPr="006C1D89">
        <w:rPr>
          <w:rFonts w:asciiTheme="minorHAnsi" w:hAnsiTheme="minorHAnsi"/>
          <w:sz w:val="22"/>
          <w:szCs w:val="22"/>
        </w:rPr>
        <w:t>@rmit.edu.au</w:t>
      </w:r>
    </w:p>
    <w:sectPr w:rsidR="006C1D89" w:rsidRPr="006C1D89" w:rsidSect="00C6587D">
      <w:type w:val="continuous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2zfx0pv4de5wyepap3vvrdftxdevzfepz50&quot;&gt;My EndNote Library&lt;record-ids&gt;&lt;item&gt;608&lt;/item&gt;&lt;item&gt;610&lt;/item&gt;&lt;item&gt;612&lt;/item&gt;&lt;/record-ids&gt;&lt;/item&gt;&lt;/Libraries&gt;"/>
  </w:docVars>
  <w:rsids>
    <w:rsidRoot w:val="002226BB"/>
    <w:rsid w:val="0004118E"/>
    <w:rsid w:val="00045573"/>
    <w:rsid w:val="000B3F4B"/>
    <w:rsid w:val="001A21AD"/>
    <w:rsid w:val="001B30CC"/>
    <w:rsid w:val="001E3DCE"/>
    <w:rsid w:val="002078AD"/>
    <w:rsid w:val="002226BB"/>
    <w:rsid w:val="00225236"/>
    <w:rsid w:val="002272B0"/>
    <w:rsid w:val="0028685A"/>
    <w:rsid w:val="002A49AD"/>
    <w:rsid w:val="00300B92"/>
    <w:rsid w:val="0030585E"/>
    <w:rsid w:val="003533D1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6C1D89"/>
    <w:rsid w:val="00711813"/>
    <w:rsid w:val="00724E3C"/>
    <w:rsid w:val="00743C46"/>
    <w:rsid w:val="007D3EF1"/>
    <w:rsid w:val="00864102"/>
    <w:rsid w:val="008909C9"/>
    <w:rsid w:val="009022EC"/>
    <w:rsid w:val="00927E4B"/>
    <w:rsid w:val="0093194F"/>
    <w:rsid w:val="00947B77"/>
    <w:rsid w:val="009B2641"/>
    <w:rsid w:val="009C1137"/>
    <w:rsid w:val="009D00E8"/>
    <w:rsid w:val="009E2228"/>
    <w:rsid w:val="009F06D6"/>
    <w:rsid w:val="00A266B4"/>
    <w:rsid w:val="00B4579F"/>
    <w:rsid w:val="00B76072"/>
    <w:rsid w:val="00BB6864"/>
    <w:rsid w:val="00BC5FCC"/>
    <w:rsid w:val="00C60A71"/>
    <w:rsid w:val="00C6587D"/>
    <w:rsid w:val="00CC165A"/>
    <w:rsid w:val="00D32A7D"/>
    <w:rsid w:val="00D55F3B"/>
    <w:rsid w:val="00D93E38"/>
    <w:rsid w:val="00DA2731"/>
    <w:rsid w:val="00DC0ABB"/>
    <w:rsid w:val="00DD15ED"/>
    <w:rsid w:val="00DF1C8E"/>
    <w:rsid w:val="00E53D3E"/>
    <w:rsid w:val="00EB0B1D"/>
    <w:rsid w:val="00EE0AC6"/>
    <w:rsid w:val="00EF01C2"/>
    <w:rsid w:val="00EF12F3"/>
    <w:rsid w:val="00F26BBE"/>
    <w:rsid w:val="00F97620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93194F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3194F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3194F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3194F"/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4182-C970-4879-839A-2788D59C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3217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Amanda Abraham</cp:lastModifiedBy>
  <cp:revision>18</cp:revision>
  <cp:lastPrinted>2013-06-13T05:15:00Z</cp:lastPrinted>
  <dcterms:created xsi:type="dcterms:W3CDTF">2019-08-18T23:54:00Z</dcterms:created>
  <dcterms:modified xsi:type="dcterms:W3CDTF">2019-08-19T08:18:00Z</dcterms:modified>
</cp:coreProperties>
</file>