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AD9D" w14:textId="118FDE4A" w:rsidR="00FB4CB5" w:rsidRPr="00380C1A" w:rsidRDefault="00B404DA" w:rsidP="00C93373">
      <w:pPr>
        <w:spacing w:after="0"/>
        <w:rPr>
          <w:rFonts w:ascii="Calibri" w:hAnsi="Calibri" w:cs="Calibri"/>
          <w:b/>
          <w:sz w:val="20"/>
          <w:szCs w:val="20"/>
        </w:rPr>
      </w:pPr>
      <w:r w:rsidRPr="00380C1A">
        <w:rPr>
          <w:rFonts w:ascii="Calibri" w:hAnsi="Calibri" w:cs="Calibri"/>
          <w:b/>
          <w:sz w:val="20"/>
          <w:szCs w:val="20"/>
        </w:rPr>
        <w:t>L</w:t>
      </w:r>
      <w:r w:rsidR="00FB4CB5" w:rsidRPr="00380C1A">
        <w:rPr>
          <w:rFonts w:ascii="Calibri" w:hAnsi="Calibri" w:cs="Calibri"/>
          <w:b/>
          <w:sz w:val="20"/>
          <w:szCs w:val="20"/>
        </w:rPr>
        <w:t xml:space="preserve">ow functional efficacy of a highly G protein-biased </w:t>
      </w:r>
      <w:r w:rsidR="00420096" w:rsidRPr="00380C1A">
        <w:rPr>
          <w:rFonts w:ascii="Calibri" w:hAnsi="Calibri" w:cs="Calibri"/>
          <w:b/>
          <w:sz w:val="20"/>
          <w:szCs w:val="20"/>
        </w:rPr>
        <w:t>MO</w:t>
      </w:r>
      <w:r w:rsidR="00380C1A">
        <w:rPr>
          <w:rFonts w:ascii="Calibri" w:hAnsi="Calibri" w:cs="Calibri"/>
          <w:b/>
          <w:sz w:val="20"/>
          <w:szCs w:val="20"/>
        </w:rPr>
        <w:t>P</w:t>
      </w:r>
      <w:r w:rsidR="00FB4CB5" w:rsidRPr="00380C1A">
        <w:rPr>
          <w:rFonts w:ascii="Calibri" w:hAnsi="Calibri" w:cs="Calibri"/>
          <w:b/>
          <w:sz w:val="20"/>
          <w:szCs w:val="20"/>
        </w:rPr>
        <w:t xml:space="preserve"> agonist in </w:t>
      </w:r>
      <w:r w:rsidR="00420096" w:rsidRPr="00380C1A">
        <w:rPr>
          <w:rFonts w:ascii="Calibri" w:hAnsi="Calibri" w:cs="Calibri"/>
          <w:b/>
          <w:sz w:val="20"/>
          <w:szCs w:val="20"/>
        </w:rPr>
        <w:t>primates</w:t>
      </w:r>
    </w:p>
    <w:p w14:paraId="54BD88C7" w14:textId="536E09F8" w:rsidR="00434473" w:rsidRPr="00380C1A" w:rsidRDefault="00434473" w:rsidP="00C93373">
      <w:pPr>
        <w:spacing w:after="0"/>
        <w:rPr>
          <w:rStyle w:val="2018RDAbstractForm"/>
          <w:rFonts w:ascii="Calibri" w:hAnsi="Calibri" w:cs="Calibri"/>
          <w:b/>
          <w:color w:val="auto"/>
          <w:sz w:val="20"/>
          <w:szCs w:val="20"/>
        </w:rPr>
      </w:pPr>
      <w:r w:rsidRPr="00380C1A">
        <w:rPr>
          <w:rStyle w:val="2018RDAbstractForm"/>
          <w:rFonts w:ascii="Calibri" w:hAnsi="Calibri" w:cs="Calibri"/>
          <w:sz w:val="20"/>
          <w:szCs w:val="20"/>
        </w:rPr>
        <w:t>Mei-Chuan Ko</w:t>
      </w:r>
      <w:r w:rsidRPr="00380C1A">
        <w:rPr>
          <w:rStyle w:val="2018RDAbstractForm"/>
          <w:rFonts w:ascii="Calibri" w:hAnsi="Calibri" w:cs="Calibri"/>
          <w:sz w:val="20"/>
          <w:szCs w:val="20"/>
          <w:vertAlign w:val="superscript"/>
        </w:rPr>
        <w:t>1</w:t>
      </w:r>
      <w:r w:rsidRPr="00380C1A">
        <w:rPr>
          <w:rStyle w:val="2018RDAbstractForm"/>
          <w:rFonts w:ascii="Calibri" w:hAnsi="Calibri" w:cs="Calibri"/>
          <w:sz w:val="20"/>
          <w:szCs w:val="20"/>
        </w:rPr>
        <w:t>, Huiping Ding</w:t>
      </w:r>
      <w:r w:rsidRPr="00380C1A">
        <w:rPr>
          <w:rStyle w:val="2018RDAbstractForm"/>
          <w:rFonts w:ascii="Calibri" w:hAnsi="Calibri" w:cs="Calibri"/>
          <w:sz w:val="20"/>
          <w:szCs w:val="20"/>
          <w:vertAlign w:val="superscript"/>
        </w:rPr>
        <w:t>2</w:t>
      </w:r>
      <w:r w:rsidRPr="00380C1A">
        <w:rPr>
          <w:rStyle w:val="2018RDAbstractForm"/>
          <w:rFonts w:ascii="Calibri" w:hAnsi="Calibri" w:cs="Calibri"/>
          <w:sz w:val="20"/>
          <w:szCs w:val="20"/>
        </w:rPr>
        <w:t>, Yanan Zhang</w:t>
      </w:r>
      <w:r w:rsidRPr="00380C1A">
        <w:rPr>
          <w:rStyle w:val="2018RDAbstractForm"/>
          <w:rFonts w:ascii="Calibri" w:hAnsi="Calibri" w:cs="Calibri"/>
          <w:sz w:val="20"/>
          <w:szCs w:val="20"/>
          <w:vertAlign w:val="superscript"/>
        </w:rPr>
        <w:t>3</w:t>
      </w:r>
      <w:r w:rsidR="00B404DA" w:rsidRPr="00380C1A">
        <w:rPr>
          <w:rStyle w:val="2018RDAbstractForm"/>
          <w:rFonts w:ascii="Calibri" w:hAnsi="Calibri" w:cs="Calibri"/>
          <w:sz w:val="20"/>
          <w:szCs w:val="20"/>
        </w:rPr>
        <w:t xml:space="preserve">. </w:t>
      </w:r>
      <w:r w:rsidRPr="00380C1A">
        <w:rPr>
          <w:rStyle w:val="2018RDAbstractForm"/>
          <w:rFonts w:ascii="Calibri" w:hAnsi="Calibri" w:cs="Calibri"/>
          <w:sz w:val="20"/>
          <w:szCs w:val="20"/>
        </w:rPr>
        <w:t>Department of Psychiatry, University of Pittsburgh School of Medicine</w:t>
      </w:r>
      <w:r w:rsidR="00B404DA" w:rsidRPr="00380C1A">
        <w:rPr>
          <w:rStyle w:val="2018RDAbstractForm"/>
          <w:rFonts w:ascii="Calibri" w:hAnsi="Calibri" w:cs="Calibri"/>
          <w:sz w:val="20"/>
          <w:szCs w:val="20"/>
          <w:vertAlign w:val="superscript"/>
        </w:rPr>
        <w:t>1</w:t>
      </w:r>
      <w:r w:rsidR="00B404DA" w:rsidRPr="00380C1A">
        <w:rPr>
          <w:rStyle w:val="2018RDAbstractForm"/>
          <w:rFonts w:ascii="Calibri" w:hAnsi="Calibri" w:cs="Calibri"/>
          <w:sz w:val="20"/>
          <w:szCs w:val="20"/>
        </w:rPr>
        <w:t>, Pittsburgh, PA, USA</w:t>
      </w:r>
      <w:r w:rsidRPr="00380C1A">
        <w:rPr>
          <w:rStyle w:val="2018RDAbstractForm"/>
          <w:rFonts w:ascii="Calibri" w:hAnsi="Calibri" w:cs="Calibri"/>
          <w:sz w:val="20"/>
          <w:szCs w:val="20"/>
        </w:rPr>
        <w:t>; Department of Translational Neuroscience, Wake Forest University School of Medicine</w:t>
      </w:r>
      <w:r w:rsidR="00B404DA" w:rsidRPr="00380C1A">
        <w:rPr>
          <w:rStyle w:val="2018RDAbstractForm"/>
          <w:rFonts w:ascii="Calibri" w:hAnsi="Calibri" w:cs="Calibri"/>
          <w:sz w:val="20"/>
          <w:szCs w:val="20"/>
          <w:vertAlign w:val="superscript"/>
        </w:rPr>
        <w:t>2</w:t>
      </w:r>
      <w:r w:rsidR="00B404DA" w:rsidRPr="00380C1A">
        <w:rPr>
          <w:rStyle w:val="2018RDAbstractForm"/>
          <w:rFonts w:ascii="Calibri" w:hAnsi="Calibri" w:cs="Calibri"/>
          <w:sz w:val="20"/>
          <w:szCs w:val="20"/>
        </w:rPr>
        <w:t>, Winston-Salem, NC, USA</w:t>
      </w:r>
      <w:r w:rsidRPr="00380C1A">
        <w:rPr>
          <w:rStyle w:val="2018RDAbstractForm"/>
          <w:rFonts w:ascii="Calibri" w:hAnsi="Calibri" w:cs="Calibri"/>
          <w:sz w:val="20"/>
          <w:szCs w:val="20"/>
        </w:rPr>
        <w:t>; Research Triangle Institute</w:t>
      </w:r>
      <w:r w:rsidR="00B404DA" w:rsidRPr="00380C1A">
        <w:rPr>
          <w:rStyle w:val="2018RDAbstractForm"/>
          <w:rFonts w:ascii="Calibri" w:hAnsi="Calibri" w:cs="Calibri"/>
          <w:sz w:val="20"/>
          <w:szCs w:val="20"/>
          <w:vertAlign w:val="superscript"/>
        </w:rPr>
        <w:t>3</w:t>
      </w:r>
      <w:r w:rsidRPr="00380C1A">
        <w:rPr>
          <w:rStyle w:val="2018RDAbstractForm"/>
          <w:rFonts w:ascii="Calibri" w:hAnsi="Calibri" w:cs="Calibri"/>
          <w:sz w:val="20"/>
          <w:szCs w:val="20"/>
        </w:rPr>
        <w:t>, Research Triangle Park</w:t>
      </w:r>
      <w:r w:rsidR="00B404DA" w:rsidRPr="00380C1A">
        <w:rPr>
          <w:rStyle w:val="2018RDAbstractForm"/>
          <w:rFonts w:ascii="Calibri" w:hAnsi="Calibri" w:cs="Calibri"/>
          <w:sz w:val="20"/>
          <w:szCs w:val="20"/>
        </w:rPr>
        <w:t>, NC, USA.</w:t>
      </w:r>
    </w:p>
    <w:p w14:paraId="06351F9A" w14:textId="77777777" w:rsidR="00434473" w:rsidRPr="00380C1A" w:rsidRDefault="00434473" w:rsidP="00C9337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3CF3FBB" w14:textId="6B88F05D" w:rsidR="00AC23BD" w:rsidRPr="00380C1A" w:rsidRDefault="00434473" w:rsidP="00C9337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80C1A">
        <w:rPr>
          <w:rStyle w:val="2018RDAbstractForm"/>
          <w:rFonts w:ascii="Calibri" w:hAnsi="Calibri" w:cs="Calibri"/>
          <w:b/>
          <w:sz w:val="20"/>
          <w:szCs w:val="20"/>
        </w:rPr>
        <w:t>Introduction</w:t>
      </w:r>
      <w:r w:rsidR="00B404DA" w:rsidRPr="00380C1A">
        <w:rPr>
          <w:rStyle w:val="2018RDAbstractForm"/>
          <w:rFonts w:ascii="Calibri" w:hAnsi="Calibri" w:cs="Calibri"/>
          <w:b/>
          <w:sz w:val="20"/>
          <w:szCs w:val="20"/>
        </w:rPr>
        <w:t>.</w:t>
      </w:r>
      <w:r w:rsidRPr="00380C1A">
        <w:rPr>
          <w:rStyle w:val="2018RDAbstractForm"/>
          <w:rFonts w:ascii="Calibri" w:hAnsi="Calibri" w:cs="Calibri"/>
          <w:b/>
          <w:sz w:val="20"/>
          <w:szCs w:val="20"/>
        </w:rPr>
        <w:t xml:space="preserve"> </w:t>
      </w:r>
      <w:r w:rsidRPr="00380C1A">
        <w:rPr>
          <w:rFonts w:ascii="Calibri" w:hAnsi="Calibri" w:cs="Calibri"/>
          <w:sz w:val="20"/>
          <w:szCs w:val="20"/>
        </w:rPr>
        <w:t xml:space="preserve">SR-17018 was identified as a G protein-biased mu opioid peptide (MOP) receptor agonist with the highest bias factor and lacked MOP agonist-associated adverse effects in mice. </w:t>
      </w:r>
    </w:p>
    <w:p w14:paraId="46EB1034" w14:textId="7F7E5299" w:rsidR="000D3614" w:rsidRPr="00380C1A" w:rsidRDefault="00AC23BD" w:rsidP="00C93373">
      <w:pPr>
        <w:spacing w:after="0"/>
        <w:jc w:val="both"/>
        <w:rPr>
          <w:rStyle w:val="2018RDAbstractForm"/>
          <w:rFonts w:ascii="Calibri" w:hAnsi="Calibri" w:cs="Calibri"/>
          <w:color w:val="auto"/>
          <w:sz w:val="20"/>
          <w:szCs w:val="20"/>
        </w:rPr>
      </w:pPr>
      <w:r w:rsidRPr="00380C1A">
        <w:rPr>
          <w:rFonts w:ascii="Calibri" w:hAnsi="Calibri" w:cs="Calibri"/>
          <w:b/>
          <w:bCs/>
          <w:sz w:val="20"/>
          <w:szCs w:val="20"/>
        </w:rPr>
        <w:t>Aims</w:t>
      </w:r>
      <w:r w:rsidR="004845CA" w:rsidRPr="00380C1A">
        <w:rPr>
          <w:rFonts w:ascii="Calibri" w:hAnsi="Calibri" w:cs="Calibri"/>
          <w:b/>
          <w:bCs/>
          <w:sz w:val="20"/>
          <w:szCs w:val="20"/>
        </w:rPr>
        <w:t>.</w:t>
      </w:r>
      <w:r w:rsidRPr="00380C1A">
        <w:rPr>
          <w:rFonts w:ascii="Calibri" w:hAnsi="Calibri" w:cs="Calibri"/>
          <w:sz w:val="20"/>
          <w:szCs w:val="20"/>
        </w:rPr>
        <w:t xml:space="preserve"> </w:t>
      </w:r>
      <w:r w:rsidR="00434473" w:rsidRPr="00380C1A">
        <w:rPr>
          <w:rFonts w:ascii="Calibri" w:hAnsi="Calibri" w:cs="Calibri"/>
          <w:sz w:val="20"/>
          <w:szCs w:val="20"/>
        </w:rPr>
        <w:t>The aim of this study was to determine the functional profile of spinal and systemic delivery of SR-17018 in non-human primates</w:t>
      </w:r>
      <w:r w:rsidR="008D1D60">
        <w:rPr>
          <w:rFonts w:ascii="Calibri" w:hAnsi="Calibri" w:cs="Calibri"/>
          <w:sz w:val="20"/>
          <w:szCs w:val="20"/>
        </w:rPr>
        <w:t xml:space="preserve"> (NHP)</w:t>
      </w:r>
      <w:r w:rsidR="00434473" w:rsidRPr="00380C1A">
        <w:rPr>
          <w:rFonts w:ascii="Calibri" w:hAnsi="Calibri" w:cs="Calibri"/>
          <w:sz w:val="20"/>
          <w:szCs w:val="20"/>
        </w:rPr>
        <w:t xml:space="preserve">. </w:t>
      </w:r>
    </w:p>
    <w:p w14:paraId="2B405D08" w14:textId="16BFDFDC" w:rsidR="000D3614" w:rsidRPr="00380C1A" w:rsidRDefault="00434473" w:rsidP="00C93373">
      <w:pPr>
        <w:spacing w:after="0"/>
        <w:jc w:val="both"/>
        <w:rPr>
          <w:rStyle w:val="2018RDAbstractForm"/>
          <w:rFonts w:ascii="Calibri" w:hAnsi="Calibri" w:cs="Calibri"/>
          <w:color w:val="auto"/>
          <w:sz w:val="20"/>
          <w:szCs w:val="20"/>
        </w:rPr>
      </w:pPr>
      <w:r w:rsidRPr="00380C1A">
        <w:rPr>
          <w:rStyle w:val="2018RDAbstractForm"/>
          <w:rFonts w:ascii="Calibri" w:hAnsi="Calibri" w:cs="Calibri"/>
          <w:b/>
          <w:sz w:val="20"/>
          <w:szCs w:val="20"/>
        </w:rPr>
        <w:t>Methods</w:t>
      </w:r>
      <w:r w:rsidR="004845CA" w:rsidRPr="00380C1A">
        <w:rPr>
          <w:rStyle w:val="2018RDAbstractForm"/>
          <w:rFonts w:ascii="Calibri" w:hAnsi="Calibri" w:cs="Calibri"/>
          <w:b/>
          <w:sz w:val="20"/>
          <w:szCs w:val="20"/>
        </w:rPr>
        <w:t>.</w:t>
      </w:r>
      <w:r w:rsidRPr="00380C1A">
        <w:rPr>
          <w:rStyle w:val="2018RDAbstractForm"/>
          <w:rFonts w:ascii="Calibri" w:hAnsi="Calibri" w:cs="Calibri"/>
          <w:b/>
          <w:sz w:val="20"/>
          <w:szCs w:val="20"/>
        </w:rPr>
        <w:t xml:space="preserve"> </w:t>
      </w:r>
      <w:r w:rsidRPr="00380C1A">
        <w:rPr>
          <w:rFonts w:ascii="Calibri" w:hAnsi="Calibri" w:cs="Calibri"/>
          <w:sz w:val="20"/>
          <w:szCs w:val="20"/>
        </w:rPr>
        <w:t>In vivo effects of SR-17018 were compared with those of MOP agonists in different intrinsic efficacies, DAMGO, morphine, heroin, and buprenorphine, in a series of behavioral assays established in rhesus monkeys (</w:t>
      </w:r>
      <w:r w:rsidRPr="00380C1A">
        <w:rPr>
          <w:rFonts w:ascii="Calibri" w:hAnsi="Calibri" w:cs="Calibri"/>
          <w:i/>
          <w:sz w:val="20"/>
          <w:szCs w:val="20"/>
        </w:rPr>
        <w:t xml:space="preserve">Macaca </w:t>
      </w:r>
      <w:proofErr w:type="spellStart"/>
      <w:r w:rsidRPr="00380C1A">
        <w:rPr>
          <w:rFonts w:ascii="Calibri" w:hAnsi="Calibri" w:cs="Calibri"/>
          <w:i/>
          <w:sz w:val="20"/>
          <w:szCs w:val="20"/>
        </w:rPr>
        <w:t>mutatta</w:t>
      </w:r>
      <w:proofErr w:type="spellEnd"/>
      <w:r w:rsidRPr="00380C1A">
        <w:rPr>
          <w:rFonts w:ascii="Calibri" w:hAnsi="Calibri" w:cs="Calibri"/>
          <w:sz w:val="20"/>
          <w:szCs w:val="20"/>
        </w:rPr>
        <w:t xml:space="preserve">) (n=4 per study endpoint). Nociceptive, itch-scratching, and operant behavior were measured by experimenters blinded to the dosing conditions. </w:t>
      </w:r>
    </w:p>
    <w:p w14:paraId="5D782905" w14:textId="3F1056BA" w:rsidR="000D3614" w:rsidRPr="00380C1A" w:rsidRDefault="00434473" w:rsidP="00C93373">
      <w:pPr>
        <w:spacing w:after="0"/>
        <w:jc w:val="both"/>
        <w:rPr>
          <w:rStyle w:val="2018RDAbstractForm"/>
          <w:rFonts w:ascii="Calibri" w:hAnsi="Calibri" w:cs="Calibri"/>
          <w:color w:val="auto"/>
          <w:sz w:val="20"/>
          <w:szCs w:val="20"/>
        </w:rPr>
      </w:pPr>
      <w:r w:rsidRPr="00380C1A">
        <w:rPr>
          <w:rStyle w:val="2018RDAbstractForm"/>
          <w:rFonts w:ascii="Calibri" w:hAnsi="Calibri" w:cs="Calibri"/>
          <w:b/>
          <w:sz w:val="20"/>
          <w:szCs w:val="20"/>
        </w:rPr>
        <w:t>Results</w:t>
      </w:r>
      <w:r w:rsidR="004845CA" w:rsidRPr="00380C1A">
        <w:rPr>
          <w:rStyle w:val="2018RDAbstractForm"/>
          <w:rFonts w:ascii="Calibri" w:hAnsi="Calibri" w:cs="Calibri"/>
          <w:b/>
          <w:sz w:val="20"/>
          <w:szCs w:val="20"/>
        </w:rPr>
        <w:t>.</w:t>
      </w:r>
      <w:r w:rsidRPr="00380C1A">
        <w:rPr>
          <w:rStyle w:val="2018RDAbstractForm"/>
          <w:rFonts w:ascii="Calibri" w:hAnsi="Calibri" w:cs="Calibri"/>
          <w:b/>
          <w:sz w:val="20"/>
          <w:szCs w:val="20"/>
        </w:rPr>
        <w:t xml:space="preserve"> </w:t>
      </w:r>
      <w:r w:rsidRPr="00380C1A">
        <w:rPr>
          <w:rFonts w:ascii="Calibri" w:hAnsi="Calibri" w:cs="Calibri"/>
          <w:sz w:val="20"/>
          <w:szCs w:val="20"/>
        </w:rPr>
        <w:t xml:space="preserve">Following intrathecal administration, SR-17018 (30-300 ug), buprenorphine (3-10 ug), morphine (10-30 ug), and DAMGO (1-3 ug), dose-dependently attenuated capsaicin-induced thermal allodynia (p &lt; 0.05). However, unlike DAMGO and morphine eliciting robust itch-scratching activities, intrathecal SR-17018 and buprenorphine only elicited mild scratching activities. In the intravenous drug self-administration assay, heroin (0.3-10 ug/kg/infusion) produced a higher reinforcing strength (abuse liability) as compared to lower reinforcing strengths by SR-17018 (3-30 ug/kg/infusion) and buprenorphine (1-10 ug/kg/infusion) in </w:t>
      </w:r>
      <w:r w:rsidR="008D1D60">
        <w:rPr>
          <w:rFonts w:ascii="Calibri" w:hAnsi="Calibri" w:cs="Calibri"/>
          <w:sz w:val="20"/>
          <w:szCs w:val="20"/>
        </w:rPr>
        <w:t>NHP</w:t>
      </w:r>
      <w:r w:rsidRPr="00380C1A">
        <w:rPr>
          <w:rFonts w:ascii="Calibri" w:hAnsi="Calibri" w:cs="Calibri"/>
          <w:sz w:val="20"/>
          <w:szCs w:val="20"/>
        </w:rPr>
        <w:t xml:space="preserve">s under the progressive-ratio </w:t>
      </w:r>
      <w:r w:rsidR="008D1D60">
        <w:rPr>
          <w:rFonts w:ascii="Calibri" w:hAnsi="Calibri" w:cs="Calibri"/>
          <w:sz w:val="20"/>
          <w:szCs w:val="20"/>
        </w:rPr>
        <w:t xml:space="preserve">(PR) </w:t>
      </w:r>
      <w:r w:rsidRPr="00380C1A">
        <w:rPr>
          <w:rFonts w:ascii="Calibri" w:hAnsi="Calibri" w:cs="Calibri"/>
          <w:sz w:val="20"/>
          <w:szCs w:val="20"/>
        </w:rPr>
        <w:t xml:space="preserve">schedule of reinforcement (p &lt; 0.05). </w:t>
      </w:r>
    </w:p>
    <w:p w14:paraId="0195897F" w14:textId="233DEA67" w:rsidR="008D1D60" w:rsidRPr="00380C1A" w:rsidRDefault="00AC23BD" w:rsidP="008D1D6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380C1A">
        <w:rPr>
          <w:rStyle w:val="2018RDAbstractForm"/>
          <w:rFonts w:ascii="Calibri" w:eastAsiaTheme="majorEastAsia" w:hAnsi="Calibri" w:cs="Calibri"/>
          <w:b/>
          <w:sz w:val="20"/>
          <w:szCs w:val="20"/>
        </w:rPr>
        <w:t>Discussion</w:t>
      </w:r>
      <w:r w:rsidR="004845CA" w:rsidRPr="00380C1A">
        <w:rPr>
          <w:rStyle w:val="2018RDAbstractForm"/>
          <w:rFonts w:ascii="Calibri" w:eastAsiaTheme="majorEastAsia" w:hAnsi="Calibri" w:cs="Calibri"/>
          <w:b/>
          <w:sz w:val="20"/>
          <w:szCs w:val="20"/>
        </w:rPr>
        <w:t xml:space="preserve">. </w:t>
      </w:r>
      <w:r w:rsidR="00434473" w:rsidRPr="00380C1A">
        <w:rPr>
          <w:rFonts w:ascii="Calibri" w:hAnsi="Calibri" w:cs="Calibri"/>
          <w:sz w:val="20"/>
          <w:szCs w:val="20"/>
        </w:rPr>
        <w:t xml:space="preserve">The intrathecal opioid-induced scratching and intravenous drug self-administration </w:t>
      </w:r>
      <w:r w:rsidR="008D1D60">
        <w:rPr>
          <w:rFonts w:ascii="Calibri" w:hAnsi="Calibri" w:cs="Calibri"/>
          <w:sz w:val="20"/>
          <w:szCs w:val="20"/>
        </w:rPr>
        <w:t xml:space="preserve">with the PR schedule of reinforcement </w:t>
      </w:r>
      <w:r w:rsidR="00434473" w:rsidRPr="00380C1A">
        <w:rPr>
          <w:rFonts w:ascii="Calibri" w:hAnsi="Calibri" w:cs="Calibri"/>
          <w:sz w:val="20"/>
          <w:szCs w:val="20"/>
        </w:rPr>
        <w:t xml:space="preserve">have been documented to distinguish MOP receptor agonists with different intrinsic efficacies in </w:t>
      </w:r>
      <w:r w:rsidR="008D1D60">
        <w:rPr>
          <w:rFonts w:ascii="Calibri" w:hAnsi="Calibri" w:cs="Calibri"/>
          <w:sz w:val="20"/>
          <w:szCs w:val="20"/>
        </w:rPr>
        <w:t>NHP</w:t>
      </w:r>
      <w:r w:rsidR="00434473" w:rsidRPr="00380C1A">
        <w:rPr>
          <w:rFonts w:ascii="Calibri" w:hAnsi="Calibri" w:cs="Calibri"/>
          <w:sz w:val="20"/>
          <w:szCs w:val="20"/>
        </w:rPr>
        <w:t xml:space="preserve">s. Our findings reveal that </w:t>
      </w:r>
      <w:r w:rsidR="00434473" w:rsidRPr="00380C1A">
        <w:rPr>
          <w:rFonts w:ascii="Calibri" w:hAnsi="Calibri" w:cs="Calibri"/>
          <w:i/>
          <w:sz w:val="20"/>
          <w:szCs w:val="20"/>
        </w:rPr>
        <w:t>in vivo</w:t>
      </w:r>
      <w:r w:rsidR="00434473" w:rsidRPr="00380C1A">
        <w:rPr>
          <w:rFonts w:ascii="Calibri" w:hAnsi="Calibri" w:cs="Calibri"/>
          <w:sz w:val="20"/>
          <w:szCs w:val="20"/>
        </w:rPr>
        <w:t xml:space="preserve"> apparent low efficacy of SR-17018 is </w:t>
      </w:r>
      <w:proofErr w:type="gramStart"/>
      <w:r w:rsidR="00434473" w:rsidRPr="00380C1A">
        <w:rPr>
          <w:rFonts w:ascii="Calibri" w:hAnsi="Calibri" w:cs="Calibri"/>
          <w:sz w:val="20"/>
          <w:szCs w:val="20"/>
        </w:rPr>
        <w:t>similar to</w:t>
      </w:r>
      <w:proofErr w:type="gramEnd"/>
      <w:r w:rsidR="00434473" w:rsidRPr="00380C1A">
        <w:rPr>
          <w:rFonts w:ascii="Calibri" w:hAnsi="Calibri" w:cs="Calibri"/>
          <w:sz w:val="20"/>
          <w:szCs w:val="20"/>
        </w:rPr>
        <w:t xml:space="preserve"> that of a MOP </w:t>
      </w:r>
      <w:r w:rsidR="00434473" w:rsidRPr="00380C1A">
        <w:rPr>
          <w:rFonts w:ascii="Calibri" w:hAnsi="Calibri" w:cs="Calibri"/>
          <w:i/>
          <w:sz w:val="20"/>
          <w:szCs w:val="20"/>
        </w:rPr>
        <w:t>partial</w:t>
      </w:r>
      <w:r w:rsidR="00434473" w:rsidRPr="00380C1A">
        <w:rPr>
          <w:rFonts w:ascii="Calibri" w:hAnsi="Calibri" w:cs="Calibri"/>
          <w:sz w:val="20"/>
          <w:szCs w:val="20"/>
        </w:rPr>
        <w:t xml:space="preserve"> agonist buprenorphine measured by the non-human primate </w:t>
      </w:r>
      <w:r w:rsidRPr="00380C1A">
        <w:rPr>
          <w:rFonts w:ascii="Calibri" w:hAnsi="Calibri" w:cs="Calibri"/>
          <w:sz w:val="20"/>
          <w:szCs w:val="20"/>
        </w:rPr>
        <w:t xml:space="preserve">behavioral </w:t>
      </w:r>
      <w:r w:rsidR="00434473" w:rsidRPr="00380C1A">
        <w:rPr>
          <w:rFonts w:ascii="Calibri" w:hAnsi="Calibri" w:cs="Calibri"/>
          <w:sz w:val="20"/>
          <w:szCs w:val="20"/>
        </w:rPr>
        <w:t xml:space="preserve">assays with translation relevance. Such a low intrinsic efficacy explains its improved side-effect profile of a highly G protein-biased MOP agonist, SR-17018, in </w:t>
      </w:r>
      <w:r w:rsidR="008D1D60">
        <w:rPr>
          <w:rFonts w:ascii="Calibri" w:hAnsi="Calibri" w:cs="Calibri"/>
          <w:sz w:val="20"/>
          <w:szCs w:val="20"/>
        </w:rPr>
        <w:t>NHP</w:t>
      </w:r>
      <w:r w:rsidR="00434473" w:rsidRPr="00380C1A">
        <w:rPr>
          <w:rFonts w:ascii="Calibri" w:hAnsi="Calibri" w:cs="Calibri"/>
          <w:sz w:val="20"/>
          <w:szCs w:val="20"/>
        </w:rPr>
        <w:t xml:space="preserve">s.  </w:t>
      </w:r>
    </w:p>
    <w:sectPr w:rsidR="008D1D60" w:rsidRPr="00380C1A" w:rsidSect="008D1D60">
      <w:pgSz w:w="11906" w:h="8391" w:orient="landscape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73"/>
    <w:rsid w:val="000D3614"/>
    <w:rsid w:val="00380C1A"/>
    <w:rsid w:val="00420096"/>
    <w:rsid w:val="00434473"/>
    <w:rsid w:val="004845CA"/>
    <w:rsid w:val="004C44DC"/>
    <w:rsid w:val="007134EE"/>
    <w:rsid w:val="00845ABE"/>
    <w:rsid w:val="008D1D60"/>
    <w:rsid w:val="00AC23BD"/>
    <w:rsid w:val="00B404DA"/>
    <w:rsid w:val="00B80CFD"/>
    <w:rsid w:val="00C93373"/>
    <w:rsid w:val="00CA0ACD"/>
    <w:rsid w:val="00EB6CA8"/>
    <w:rsid w:val="00EF11FA"/>
    <w:rsid w:val="00F06C82"/>
    <w:rsid w:val="00FB4CB5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3141"/>
  <w15:chartTrackingRefBased/>
  <w15:docId w15:val="{B4B4CB33-3BBC-0E45-8F59-E0C8960B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7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4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4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4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4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4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4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4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4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4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4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4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47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47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47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34473"/>
    <w:rPr>
      <w:color w:val="808080"/>
    </w:rPr>
  </w:style>
  <w:style w:type="character" w:customStyle="1" w:styleId="2018RDAbstractForm">
    <w:name w:val="2018 RD Abstract Form"/>
    <w:basedOn w:val="DefaultParagraphFont"/>
    <w:uiPriority w:val="1"/>
    <w:qFormat/>
    <w:locked/>
    <w:rsid w:val="00434473"/>
    <w:rPr>
      <w:rFonts w:ascii="Times New Roman" w:hAnsi="Times New Roman"/>
      <w:caps w:val="0"/>
      <w:smallCaps w:val="0"/>
      <w:strike w:val="0"/>
      <w:dstrike w:val="0"/>
      <w:vanish w:val="0"/>
      <w:color w:val="000000" w:themeColor="text1"/>
      <w:sz w:val="24"/>
    </w:rPr>
  </w:style>
  <w:style w:type="paragraph" w:styleId="NormalWeb">
    <w:name w:val="Normal (Web)"/>
    <w:basedOn w:val="Normal"/>
    <w:uiPriority w:val="99"/>
    <w:rsid w:val="004344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Ko, Mei-Chuan H</dc:creator>
  <cp:keywords/>
  <dc:description/>
  <cp:lastModifiedBy>Ko, Mei-Chuan H</cp:lastModifiedBy>
  <cp:revision>12</cp:revision>
  <dcterms:created xsi:type="dcterms:W3CDTF">2025-07-14T01:17:00Z</dcterms:created>
  <dcterms:modified xsi:type="dcterms:W3CDTF">2025-09-14T18:31:00Z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2025-07-14T01:18:56Z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b4832c22-791b-4b70-965a-872f271f0440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