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05FF93C6" w:rsidR="00711813" w:rsidRPr="00DF1C8E" w:rsidRDefault="00FE1F5E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Responsive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-biosensor for highly reactive biomarkers monitoring 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48A1865" w:rsidR="00DF1C8E" w:rsidRPr="005F19FF" w:rsidRDefault="00356C39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Run </w:t>
      </w:r>
      <w:proofErr w:type="spellStart"/>
      <w:r>
        <w:rPr>
          <w:rFonts w:ascii="Calibri" w:hAnsi="Calibri" w:cs="Calibri"/>
          <w:i/>
          <w:lang w:val="en-AU"/>
        </w:rPr>
        <w:t>Zhang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bookmarkStart w:id="0" w:name="_GoBack"/>
      <w:bookmarkEnd w:id="0"/>
      <w:proofErr w:type="spellEnd"/>
    </w:p>
    <w:p w14:paraId="05E17889" w14:textId="3C3B61A4" w:rsidR="00711813" w:rsidRPr="006B3866" w:rsidRDefault="005F19FF" w:rsidP="00356C39">
      <w:pPr>
        <w:jc w:val="center"/>
        <w:rPr>
          <w:sz w:val="22"/>
          <w:szCs w:val="22"/>
          <w:lang w:val="en-AU"/>
        </w:rPr>
      </w:pPr>
      <w:proofErr w:type="gram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proofErr w:type="gramEnd"/>
      <w:r w:rsidR="00356C39" w:rsidRPr="00356C39">
        <w:rPr>
          <w:rFonts w:eastAsia="MS Mincho"/>
          <w:lang w:val="de-DE" w:eastAsia="ja-JP"/>
        </w:rPr>
        <w:t xml:space="preserve"> </w:t>
      </w:r>
      <w:r w:rsidR="00356C39" w:rsidRPr="00356C39">
        <w:rPr>
          <w:rFonts w:ascii="Calibri" w:hAnsi="Calibri" w:cs="Calibri"/>
          <w:sz w:val="22"/>
          <w:szCs w:val="22"/>
          <w:lang w:val="de-DE"/>
        </w:rPr>
        <w:t>Australian Institute for Bioengineering and Nanotechnology, The University of Queensland, QLD 4072 Brisbane, Australia</w:t>
      </w:r>
      <w:r w:rsidR="00711813" w:rsidRPr="006B3866">
        <w:rPr>
          <w:i/>
          <w:sz w:val="22"/>
          <w:szCs w:val="22"/>
        </w:rPr>
        <w:t xml:space="preserve"> </w:t>
      </w:r>
    </w:p>
    <w:p w14:paraId="3D10FE6E" w14:textId="77777777" w:rsidR="00356C39" w:rsidRDefault="00356C39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196F75B" w14:textId="626A59E4" w:rsidR="002013D9" w:rsidRPr="002013D9" w:rsidRDefault="00CB204F" w:rsidP="00F12DC5">
      <w:pPr>
        <w:spacing w:before="120" w:after="12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CB204F">
        <w:rPr>
          <w:rFonts w:ascii="Calibri" w:hAnsi="Calibri" w:cs="Calibri"/>
          <w:b/>
          <w:sz w:val="22"/>
          <w:szCs w:val="22"/>
          <w:lang w:val="en-GB"/>
        </w:rPr>
        <w:t>Introduction: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Rapid advances of </w:t>
      </w:r>
      <w:bookmarkStart w:id="1" w:name="OLE_LINK58"/>
      <w:bookmarkStart w:id="2" w:name="OLE_LINK59"/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chemical and biomedical investigations </w:t>
      </w:r>
      <w:bookmarkEnd w:id="1"/>
      <w:bookmarkEnd w:id="2"/>
      <w:r w:rsidR="002013D9" w:rsidRPr="002013D9">
        <w:rPr>
          <w:rFonts w:ascii="Calibri" w:hAnsi="Calibri" w:cs="Calibri"/>
          <w:sz w:val="22"/>
          <w:szCs w:val="22"/>
          <w:lang w:val="en-GB"/>
        </w:rPr>
        <w:t>stimulate the design of new analytical bio</w:t>
      </w:r>
      <w:r w:rsidR="002013D9">
        <w:rPr>
          <w:rFonts w:ascii="Calibri" w:hAnsi="Calibri" w:cs="Calibri"/>
          <w:sz w:val="22"/>
          <w:szCs w:val="22"/>
          <w:lang w:val="en-GB"/>
        </w:rPr>
        <w:t>sensors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for precise and accurate sensing and </w:t>
      </w:r>
      <w:proofErr w:type="spellStart"/>
      <w:r w:rsidR="002013D9" w:rsidRPr="002013D9">
        <w:rPr>
          <w:rFonts w:ascii="Calibri" w:hAnsi="Calibri" w:cs="Calibri"/>
          <w:sz w:val="22"/>
          <w:szCs w:val="22"/>
          <w:lang w:val="en-GB"/>
        </w:rPr>
        <w:t>bioimaging</w:t>
      </w:r>
      <w:proofErr w:type="spellEnd"/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013D9">
        <w:rPr>
          <w:rFonts w:ascii="Calibri" w:hAnsi="Calibri" w:cs="Calibri"/>
          <w:sz w:val="22"/>
          <w:szCs w:val="22"/>
          <w:lang w:val="en-GB"/>
        </w:rPr>
        <w:t xml:space="preserve">of specific disease biomarkers 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>at the subcellular or molecular level.</w:t>
      </w:r>
      <w:r w:rsidR="00F71726" w:rsidRPr="00F71726">
        <w:rPr>
          <w:rFonts w:ascii="Calibri" w:hAnsi="Calibri" w:cs="Calibri"/>
          <w:sz w:val="22"/>
          <w:szCs w:val="22"/>
          <w:vertAlign w:val="superscript"/>
          <w:lang w:val="en-GB"/>
        </w:rPr>
        <w:t>1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These analytical </w:t>
      </w:r>
      <w:r w:rsidR="00402EED" w:rsidRPr="002013D9">
        <w:rPr>
          <w:rFonts w:ascii="Calibri" w:hAnsi="Calibri" w:cs="Calibri"/>
          <w:sz w:val="22"/>
          <w:szCs w:val="22"/>
          <w:lang w:val="en-GB"/>
        </w:rPr>
        <w:t>bio</w:t>
      </w:r>
      <w:r w:rsidR="002013D9">
        <w:rPr>
          <w:rFonts w:ascii="Calibri" w:hAnsi="Calibri" w:cs="Calibri"/>
          <w:sz w:val="22"/>
          <w:szCs w:val="22"/>
          <w:lang w:val="en-GB"/>
        </w:rPr>
        <w:t>sensors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enable detection and visualisation of the physiological and pathological functions of key biomarkers in live organisms, thus contributing to early diagnosis of diseases and monitoring of their treatments.</w:t>
      </w:r>
      <w:proofErr w:type="gramEnd"/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Of various approaches, </w:t>
      </w:r>
      <w:r w:rsidR="002013D9">
        <w:rPr>
          <w:rFonts w:ascii="Calibri" w:hAnsi="Calibri" w:cs="Calibri"/>
          <w:sz w:val="22"/>
          <w:szCs w:val="22"/>
          <w:lang w:val="en-GB"/>
        </w:rPr>
        <w:t xml:space="preserve">optical </w:t>
      </w:r>
      <w:proofErr w:type="spellStart"/>
      <w:r w:rsidR="002013D9">
        <w:rPr>
          <w:rFonts w:ascii="Calibri" w:hAnsi="Calibri" w:cs="Calibri"/>
          <w:sz w:val="22"/>
          <w:szCs w:val="22"/>
          <w:lang w:val="en-GB"/>
        </w:rPr>
        <w:t>nano</w:t>
      </w:r>
      <w:proofErr w:type="spellEnd"/>
      <w:r w:rsidR="002013D9">
        <w:rPr>
          <w:rFonts w:ascii="Calibri" w:hAnsi="Calibri" w:cs="Calibri"/>
          <w:sz w:val="22"/>
          <w:szCs w:val="22"/>
          <w:lang w:val="en-GB"/>
        </w:rPr>
        <w:t>-biosensors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that can specifically detect and visualise biomolecules </w:t>
      </w:r>
      <w:proofErr w:type="gramStart"/>
      <w:r w:rsidR="002013D9" w:rsidRPr="002013D9">
        <w:rPr>
          <w:rFonts w:ascii="Calibri" w:hAnsi="Calibri" w:cs="Calibri"/>
          <w:sz w:val="22"/>
          <w:szCs w:val="22"/>
          <w:lang w:val="en-GB"/>
        </w:rPr>
        <w:t>have been recognised</w:t>
      </w:r>
      <w:proofErr w:type="gramEnd"/>
      <w:r w:rsidR="002013D9" w:rsidRPr="002013D9">
        <w:rPr>
          <w:rFonts w:ascii="Calibri" w:hAnsi="Calibri" w:cs="Calibri"/>
          <w:sz w:val="22"/>
          <w:szCs w:val="22"/>
          <w:lang w:val="en-GB"/>
        </w:rPr>
        <w:t xml:space="preserve"> as one of the most promising technologies due to their high sensitivity and selectivity in sensing and </w:t>
      </w:r>
      <w:r w:rsidR="002013D9" w:rsidRPr="002013D9">
        <w:rPr>
          <w:rFonts w:ascii="Calibri" w:hAnsi="Calibri" w:cs="Calibri"/>
          <w:sz w:val="22"/>
          <w:szCs w:val="22"/>
          <w:lang w:val="en-AU"/>
        </w:rPr>
        <w:t xml:space="preserve">high spatiotemporal resolution in </w:t>
      </w:r>
      <w:proofErr w:type="spellStart"/>
      <w:r w:rsidR="002013D9" w:rsidRPr="002013D9">
        <w:rPr>
          <w:rFonts w:ascii="Calibri" w:hAnsi="Calibri" w:cs="Calibri"/>
          <w:sz w:val="22"/>
          <w:szCs w:val="22"/>
          <w:lang w:val="en-AU"/>
        </w:rPr>
        <w:t>bioimaging</w:t>
      </w:r>
      <w:proofErr w:type="spellEnd"/>
      <w:r w:rsidR="002013D9" w:rsidRPr="002013D9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A15954">
        <w:rPr>
          <w:rFonts w:ascii="Calibri" w:hAnsi="Calibri" w:cs="Calibri"/>
          <w:sz w:val="22"/>
          <w:szCs w:val="22"/>
          <w:lang w:val="en-AU"/>
        </w:rPr>
        <w:t>Nevertheless, c</w:t>
      </w:r>
      <w:r w:rsidR="002013D9" w:rsidRPr="002013D9">
        <w:rPr>
          <w:rFonts w:ascii="Calibri" w:hAnsi="Calibri" w:cs="Calibri"/>
          <w:sz w:val="22"/>
          <w:szCs w:val="22"/>
          <w:lang w:val="en-AU"/>
        </w:rPr>
        <w:t>onventional molecul</w:t>
      </w:r>
      <w:r w:rsidR="002013D9">
        <w:rPr>
          <w:rFonts w:ascii="Calibri" w:hAnsi="Calibri" w:cs="Calibri"/>
          <w:sz w:val="22"/>
          <w:szCs w:val="22"/>
          <w:lang w:val="en-AU"/>
        </w:rPr>
        <w:t xml:space="preserve">e </w:t>
      </w:r>
      <w:r w:rsidR="002013D9" w:rsidRPr="002013D9">
        <w:rPr>
          <w:rFonts w:ascii="Calibri" w:hAnsi="Calibri" w:cs="Calibri"/>
          <w:sz w:val="22"/>
          <w:szCs w:val="22"/>
          <w:lang w:val="en-AU"/>
        </w:rPr>
        <w:t>and nanoparticle</w:t>
      </w:r>
      <w:r w:rsidR="002013D9">
        <w:rPr>
          <w:rFonts w:ascii="Calibri" w:hAnsi="Calibri" w:cs="Calibri"/>
          <w:sz w:val="22"/>
          <w:szCs w:val="22"/>
          <w:lang w:val="en-AU"/>
        </w:rPr>
        <w:t>-based sensors</w:t>
      </w:r>
      <w:r w:rsidR="002013D9" w:rsidRPr="002013D9">
        <w:rPr>
          <w:rFonts w:ascii="Calibri" w:hAnsi="Calibri" w:cs="Calibri"/>
          <w:sz w:val="22"/>
          <w:szCs w:val="22"/>
          <w:lang w:val="en-AU"/>
        </w:rPr>
        <w:t xml:space="preserve"> for biomarker detection is readily interfered by </w:t>
      </w:r>
      <w:proofErr w:type="spellStart"/>
      <w:r w:rsidR="002013D9" w:rsidRPr="002013D9">
        <w:rPr>
          <w:rFonts w:ascii="Calibri" w:hAnsi="Calibri" w:cs="Calibri"/>
          <w:sz w:val="22"/>
          <w:szCs w:val="22"/>
          <w:lang w:val="en-AU"/>
        </w:rPr>
        <w:t>autofluorescence</w:t>
      </w:r>
      <w:proofErr w:type="spellEnd"/>
      <w:r w:rsidR="002013D9" w:rsidRPr="002013D9">
        <w:rPr>
          <w:rFonts w:ascii="Calibri" w:hAnsi="Calibri" w:cs="Calibri"/>
          <w:sz w:val="22"/>
          <w:szCs w:val="22"/>
          <w:lang w:val="en-AU"/>
        </w:rPr>
        <w:t xml:space="preserve"> from complicated biological environments, leading to </w:t>
      </w:r>
      <w:r w:rsidR="002013D9" w:rsidRPr="002013D9">
        <w:rPr>
          <w:rFonts w:ascii="Calibri" w:hAnsi="Calibri" w:cs="Calibri"/>
          <w:sz w:val="22"/>
          <w:szCs w:val="22"/>
          <w:lang w:val="en-GB"/>
        </w:rPr>
        <w:t>false positive/negative signals.</w:t>
      </w:r>
      <w:r w:rsidR="00A1595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013D9">
        <w:rPr>
          <w:rFonts w:ascii="Calibri" w:hAnsi="Calibri" w:cs="Calibri"/>
          <w:sz w:val="22"/>
          <w:szCs w:val="22"/>
          <w:lang w:val="en-GB"/>
        </w:rPr>
        <w:t xml:space="preserve">The short lifetime of </w:t>
      </w:r>
      <w:r>
        <w:rPr>
          <w:rFonts w:ascii="Calibri" w:hAnsi="Calibri" w:cs="Calibri"/>
          <w:sz w:val="22"/>
          <w:szCs w:val="22"/>
          <w:lang w:val="en-GB"/>
        </w:rPr>
        <w:t xml:space="preserve">disease’s </w:t>
      </w:r>
      <w:r w:rsidR="002013D9">
        <w:rPr>
          <w:rFonts w:ascii="Calibri" w:hAnsi="Calibri" w:cs="Calibri"/>
          <w:sz w:val="22"/>
          <w:szCs w:val="22"/>
          <w:lang w:val="en-GB"/>
        </w:rPr>
        <w:t xml:space="preserve">reactive biomarkers </w:t>
      </w:r>
      <w:r>
        <w:rPr>
          <w:rFonts w:ascii="Calibri" w:hAnsi="Calibri" w:cs="Calibri"/>
          <w:sz w:val="22"/>
          <w:szCs w:val="22"/>
          <w:lang w:val="en-GB"/>
        </w:rPr>
        <w:t>(</w:t>
      </w:r>
      <w:r w:rsidR="00831A5F">
        <w:rPr>
          <w:rFonts w:ascii="Calibri" w:hAnsi="Calibri" w:cs="Calibri"/>
          <w:sz w:val="22"/>
          <w:szCs w:val="22"/>
          <w:lang w:val="en-GB"/>
        </w:rPr>
        <w:t xml:space="preserve">such as reactive oxygen/nitrogen species with </w:t>
      </w:r>
      <w:r>
        <w:rPr>
          <w:rFonts w:ascii="Calibri" w:hAnsi="Calibri" w:cs="Calibri"/>
          <w:sz w:val="22"/>
          <w:szCs w:val="22"/>
          <w:lang w:val="en-GB"/>
        </w:rPr>
        <w:t>less than one second</w:t>
      </w:r>
      <w:r w:rsidR="00A15954">
        <w:rPr>
          <w:rFonts w:ascii="Calibri" w:hAnsi="Calibri" w:cs="Calibri"/>
          <w:sz w:val="22"/>
          <w:szCs w:val="22"/>
          <w:lang w:val="en-GB"/>
        </w:rPr>
        <w:t xml:space="preserve"> lifetime</w:t>
      </w:r>
      <w:r>
        <w:rPr>
          <w:rFonts w:ascii="Calibri" w:hAnsi="Calibri" w:cs="Calibri"/>
          <w:sz w:val="22"/>
          <w:szCs w:val="22"/>
          <w:lang w:val="en-GB"/>
        </w:rPr>
        <w:t>) necessitate</w:t>
      </w:r>
      <w:r w:rsidR="00F77862">
        <w:rPr>
          <w:rFonts w:ascii="Calibri" w:hAnsi="Calibri" w:cs="Calibri"/>
          <w:sz w:val="22"/>
          <w:szCs w:val="22"/>
          <w:lang w:val="en-GB"/>
        </w:rPr>
        <w:t>s</w:t>
      </w:r>
      <w:r>
        <w:rPr>
          <w:rFonts w:ascii="Calibri" w:hAnsi="Calibri" w:cs="Calibri"/>
          <w:sz w:val="22"/>
          <w:szCs w:val="22"/>
          <w:lang w:val="en-GB"/>
        </w:rPr>
        <w:t xml:space="preserve"> the development of new bioanalytical methods for online detection these unstable and highly reactive biomarkers in situ. </w:t>
      </w:r>
    </w:p>
    <w:p w14:paraId="53D009A1" w14:textId="1A5E27FA" w:rsidR="002013D9" w:rsidRPr="003F3C59" w:rsidRDefault="009B4F06" w:rsidP="00F12DC5">
      <w:pPr>
        <w:spacing w:before="120" w:after="120"/>
        <w:jc w:val="both"/>
        <w:rPr>
          <w:rFonts w:ascii="Calibri" w:eastAsiaTheme="minorEastAsia" w:hAnsi="Calibri" w:cs="Calibri"/>
          <w:sz w:val="22"/>
          <w:szCs w:val="22"/>
          <w:lang w:val="en-AU" w:eastAsia="zh-CN"/>
        </w:rPr>
      </w:pPr>
      <w:r w:rsidRPr="002D10B2">
        <w:rPr>
          <w:rFonts w:ascii="Calibri" w:hAnsi="Calibri" w:cs="Calibri"/>
          <w:b/>
          <w:sz w:val="22"/>
          <w:szCs w:val="22"/>
          <w:lang w:val="en-GB"/>
        </w:rPr>
        <w:t xml:space="preserve">Methods </w:t>
      </w:r>
      <w:r w:rsidR="00CB204F" w:rsidRPr="002D10B2">
        <w:rPr>
          <w:rFonts w:ascii="Calibri" w:hAnsi="Calibri" w:cs="Calibri"/>
          <w:b/>
          <w:sz w:val="22"/>
          <w:szCs w:val="22"/>
          <w:lang w:val="en-GB"/>
        </w:rPr>
        <w:t>(</w:t>
      </w:r>
      <w:r w:rsidRPr="002D10B2">
        <w:rPr>
          <w:rFonts w:ascii="Calibri" w:hAnsi="Calibri" w:cs="Calibri"/>
          <w:b/>
          <w:sz w:val="22"/>
          <w:szCs w:val="22"/>
          <w:lang w:val="en-GB"/>
        </w:rPr>
        <w:t>Solution</w:t>
      </w:r>
      <w:r w:rsidR="00CB204F" w:rsidRPr="002D10B2">
        <w:rPr>
          <w:rFonts w:ascii="Calibri" w:hAnsi="Calibri" w:cs="Calibri"/>
          <w:b/>
          <w:sz w:val="22"/>
          <w:szCs w:val="22"/>
          <w:lang w:val="en-GB"/>
        </w:rPr>
        <w:t xml:space="preserve">): </w:t>
      </w:r>
      <w:r w:rsidR="00AA429C">
        <w:rPr>
          <w:rFonts w:ascii="Calibri" w:hAnsi="Calibri" w:cs="Calibri"/>
          <w:sz w:val="22"/>
          <w:szCs w:val="22"/>
          <w:lang w:val="en-GB"/>
        </w:rPr>
        <w:t xml:space="preserve">Accurate detection of </w:t>
      </w:r>
      <w:r w:rsidR="00831A5F">
        <w:rPr>
          <w:rFonts w:ascii="Calibri" w:hAnsi="Calibri" w:cs="Calibri"/>
          <w:sz w:val="22"/>
          <w:szCs w:val="22"/>
          <w:lang w:val="en-GB"/>
        </w:rPr>
        <w:t xml:space="preserve">these </w:t>
      </w:r>
      <w:r w:rsidR="00AA429C">
        <w:rPr>
          <w:rFonts w:ascii="Calibri" w:hAnsi="Calibri" w:cs="Calibri"/>
          <w:sz w:val="22"/>
          <w:szCs w:val="22"/>
          <w:lang w:val="en-GB"/>
        </w:rPr>
        <w:t xml:space="preserve">reactive biomarkers </w:t>
      </w:r>
      <w:proofErr w:type="gramStart"/>
      <w:r w:rsidR="00F12DC5">
        <w:rPr>
          <w:rFonts w:ascii="Calibri" w:hAnsi="Calibri" w:cs="Calibri"/>
          <w:sz w:val="22"/>
          <w:szCs w:val="22"/>
          <w:lang w:val="en-GB"/>
        </w:rPr>
        <w:t>are</w:t>
      </w:r>
      <w:r w:rsidR="00AA429C">
        <w:rPr>
          <w:rFonts w:ascii="Calibri" w:hAnsi="Calibri" w:cs="Calibri"/>
          <w:sz w:val="22"/>
          <w:szCs w:val="22"/>
          <w:lang w:val="en-GB"/>
        </w:rPr>
        <w:t xml:space="preserve"> achieved</w:t>
      </w:r>
      <w:proofErr w:type="gramEnd"/>
      <w:r w:rsidR="00AA429C">
        <w:rPr>
          <w:rFonts w:ascii="Calibri" w:hAnsi="Calibri" w:cs="Calibri"/>
          <w:sz w:val="22"/>
          <w:szCs w:val="22"/>
          <w:lang w:val="en-GB"/>
        </w:rPr>
        <w:t xml:space="preserve"> through development of responsive </w:t>
      </w:r>
      <w:proofErr w:type="spellStart"/>
      <w:r w:rsidR="00AA429C">
        <w:rPr>
          <w:rFonts w:ascii="Calibri" w:hAnsi="Calibri" w:cs="Calibri"/>
          <w:sz w:val="22"/>
          <w:szCs w:val="22"/>
          <w:lang w:val="en-GB"/>
        </w:rPr>
        <w:t>nano</w:t>
      </w:r>
      <w:proofErr w:type="spellEnd"/>
      <w:r w:rsidR="00AA429C">
        <w:rPr>
          <w:rFonts w:ascii="Calibri" w:hAnsi="Calibri" w:cs="Calibri"/>
          <w:sz w:val="22"/>
          <w:szCs w:val="22"/>
          <w:lang w:val="en-GB"/>
        </w:rPr>
        <w:t>-biosensors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gramStart"/>
      <w:r w:rsidR="007E61F8">
        <w:rPr>
          <w:rFonts w:ascii="Calibri" w:hAnsi="Calibri" w:cs="Calibri"/>
          <w:sz w:val="22"/>
          <w:szCs w:val="22"/>
          <w:lang w:val="en-GB"/>
        </w:rPr>
        <w:t>The sensor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E61F8">
        <w:rPr>
          <w:rFonts w:ascii="Calibri" w:hAnsi="Calibri" w:cs="Calibri"/>
          <w:sz w:val="22"/>
          <w:szCs w:val="22"/>
          <w:lang w:val="en-GB"/>
        </w:rPr>
        <w:t>is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responsive to a specific reactive biomolecule through a uniquely tailored reaction, leading to proportional optical signal changes for this biomolecule discrimination and quantification</w:t>
      </w:r>
      <w:r w:rsidR="007E61F8">
        <w:rPr>
          <w:rFonts w:ascii="Calibri" w:hAnsi="Calibri" w:cs="Calibri"/>
          <w:sz w:val="22"/>
          <w:szCs w:val="22"/>
          <w:lang w:val="en-GB"/>
        </w:rPr>
        <w:t>.</w:t>
      </w:r>
      <w:r w:rsidR="00F71726" w:rsidRPr="00F71726">
        <w:rPr>
          <w:rFonts w:ascii="Calibri" w:hAnsi="Calibri" w:cs="Calibri"/>
          <w:sz w:val="22"/>
          <w:szCs w:val="22"/>
          <w:vertAlign w:val="superscript"/>
          <w:lang w:val="en-GB"/>
        </w:rPr>
        <w:t>2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E61F8">
        <w:rPr>
          <w:rFonts w:ascii="Calibri" w:hAnsi="Calibri" w:cs="Calibri"/>
          <w:sz w:val="22"/>
          <w:szCs w:val="22"/>
          <w:lang w:val="en-GB"/>
        </w:rPr>
        <w:t>T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he optical output signals can be easily modulated to eliminate the </w:t>
      </w:r>
      <w:proofErr w:type="spellStart"/>
      <w:r w:rsidR="00A46C32">
        <w:rPr>
          <w:rFonts w:ascii="Calibri" w:hAnsi="Calibri" w:cs="Calibri"/>
          <w:sz w:val="22"/>
          <w:szCs w:val="22"/>
          <w:lang w:val="en-GB"/>
        </w:rPr>
        <w:t>autofluorescence</w:t>
      </w:r>
      <w:proofErr w:type="spellEnd"/>
      <w:r w:rsidR="00A46C32">
        <w:rPr>
          <w:rFonts w:ascii="Calibri" w:hAnsi="Calibri" w:cs="Calibri"/>
          <w:sz w:val="22"/>
          <w:szCs w:val="22"/>
          <w:lang w:val="en-GB"/>
        </w:rPr>
        <w:t xml:space="preserve"> signals </w:t>
      </w:r>
      <w:r w:rsidR="00A46C32" w:rsidRPr="007E61F8">
        <w:rPr>
          <w:rFonts w:ascii="Calibri" w:hAnsi="Calibri" w:cs="Calibri"/>
          <w:i/>
          <w:sz w:val="22"/>
          <w:szCs w:val="22"/>
          <w:lang w:val="en-GB"/>
        </w:rPr>
        <w:t>via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three strategies, including anti-Stokes </w:t>
      </w:r>
      <w:proofErr w:type="spellStart"/>
      <w:r w:rsidR="00A46C32">
        <w:rPr>
          <w:rFonts w:ascii="Calibri" w:hAnsi="Calibri" w:cs="Calibri"/>
          <w:sz w:val="22"/>
          <w:szCs w:val="22"/>
          <w:lang w:val="en-GB"/>
        </w:rPr>
        <w:t>upconversion</w:t>
      </w:r>
      <w:proofErr w:type="spellEnd"/>
      <w:r w:rsidR="00A46C32">
        <w:rPr>
          <w:rFonts w:ascii="Calibri" w:hAnsi="Calibri" w:cs="Calibri"/>
          <w:sz w:val="22"/>
          <w:szCs w:val="22"/>
          <w:lang w:val="en-GB"/>
        </w:rPr>
        <w:t xml:space="preserve"> luminescence,</w:t>
      </w:r>
      <w:r w:rsidR="00F71726" w:rsidRPr="00F71726">
        <w:rPr>
          <w:rFonts w:ascii="Calibri" w:hAnsi="Calibri" w:cs="Calibri"/>
          <w:sz w:val="22"/>
          <w:szCs w:val="22"/>
          <w:vertAlign w:val="superscript"/>
          <w:lang w:val="en-GB"/>
        </w:rPr>
        <w:t>3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time-gated luminescence,</w:t>
      </w:r>
      <w:r w:rsidR="00F71726" w:rsidRPr="00F71726">
        <w:rPr>
          <w:rFonts w:ascii="Calibri" w:hAnsi="Calibri" w:cs="Calibri"/>
          <w:sz w:val="22"/>
          <w:szCs w:val="22"/>
          <w:vertAlign w:val="superscript"/>
          <w:lang w:val="en-GB"/>
        </w:rPr>
        <w:t>4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and </w:t>
      </w:r>
      <w:proofErr w:type="spellStart"/>
      <w:r w:rsidR="00A46C32">
        <w:rPr>
          <w:rFonts w:ascii="Calibri" w:hAnsi="Calibri" w:cs="Calibri"/>
          <w:sz w:val="22"/>
          <w:szCs w:val="22"/>
          <w:lang w:val="en-GB"/>
        </w:rPr>
        <w:t>photoswitchable</w:t>
      </w:r>
      <w:proofErr w:type="spellEnd"/>
      <w:r w:rsidR="00A46C32">
        <w:rPr>
          <w:rFonts w:ascii="Calibri" w:hAnsi="Calibri" w:cs="Calibri"/>
          <w:sz w:val="22"/>
          <w:szCs w:val="22"/>
          <w:lang w:val="en-GB"/>
        </w:rPr>
        <w:t xml:space="preserve"> “double-checked” luminescence.</w:t>
      </w:r>
      <w:r w:rsidR="00F633ED" w:rsidRPr="00F633ED">
        <w:rPr>
          <w:rFonts w:ascii="Calibri" w:hAnsi="Calibri" w:cs="Calibri"/>
          <w:sz w:val="22"/>
          <w:szCs w:val="22"/>
          <w:vertAlign w:val="superscript"/>
          <w:lang w:val="en-GB"/>
        </w:rPr>
        <w:t>5</w:t>
      </w:r>
      <w:r w:rsidR="00A46C32">
        <w:rPr>
          <w:rFonts w:ascii="Calibri" w:hAnsi="Calibri" w:cs="Calibri"/>
          <w:sz w:val="22"/>
          <w:szCs w:val="22"/>
          <w:lang w:val="en-GB"/>
        </w:rPr>
        <w:t xml:space="preserve"> In this abstract, </w:t>
      </w:r>
      <w:r w:rsidR="00F76A5A">
        <w:rPr>
          <w:rFonts w:ascii="Calibri" w:hAnsi="Calibri" w:cs="Calibri"/>
          <w:sz w:val="22"/>
          <w:szCs w:val="22"/>
          <w:lang w:val="en-GB"/>
        </w:rPr>
        <w:t>we demonstrate our innovative bioanalytical methods for accurate and background-free detection of reactive biomarkers through description an</w:t>
      </w:r>
      <w:r w:rsidR="00C77F62">
        <w:rPr>
          <w:rFonts w:ascii="Calibri" w:hAnsi="Calibri" w:cs="Calibri"/>
          <w:sz w:val="22"/>
          <w:szCs w:val="22"/>
          <w:lang w:val="en-GB"/>
        </w:rPr>
        <w:t xml:space="preserve"> example of </w:t>
      </w:r>
      <w:r w:rsidR="00F76A5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F76A5A">
        <w:rPr>
          <w:rFonts w:ascii="Calibri" w:hAnsi="Calibri" w:cs="Calibri"/>
          <w:sz w:val="22"/>
          <w:szCs w:val="22"/>
          <w:lang w:val="en-GB"/>
        </w:rPr>
        <w:t>upconversion</w:t>
      </w:r>
      <w:proofErr w:type="spellEnd"/>
      <w:r w:rsidR="00F76A5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B20E9">
        <w:rPr>
          <w:rFonts w:ascii="Calibri" w:hAnsi="Calibri" w:cs="Calibri"/>
          <w:sz w:val="22"/>
          <w:szCs w:val="22"/>
          <w:lang w:val="en-GB"/>
        </w:rPr>
        <w:t>luminescence</w:t>
      </w:r>
      <w:r w:rsidR="00F76A5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F76A5A">
        <w:rPr>
          <w:rFonts w:ascii="Calibri" w:hAnsi="Calibri" w:cs="Calibri"/>
          <w:sz w:val="22"/>
          <w:szCs w:val="22"/>
          <w:lang w:val="en-GB"/>
        </w:rPr>
        <w:t>nano</w:t>
      </w:r>
      <w:proofErr w:type="spellEnd"/>
      <w:r w:rsidR="00F76A5A">
        <w:rPr>
          <w:rFonts w:ascii="Calibri" w:hAnsi="Calibri" w:cs="Calibri"/>
          <w:sz w:val="22"/>
          <w:szCs w:val="22"/>
          <w:lang w:val="en-GB"/>
        </w:rPr>
        <w:t xml:space="preserve">-biosensor </w:t>
      </w:r>
      <w:r w:rsidR="002B20E9">
        <w:rPr>
          <w:rFonts w:ascii="Calibri" w:hAnsi="Calibri" w:cs="Calibri"/>
          <w:sz w:val="22"/>
          <w:szCs w:val="22"/>
          <w:lang w:val="en-GB"/>
        </w:rPr>
        <w:t xml:space="preserve">for </w:t>
      </w:r>
      <w:proofErr w:type="spellStart"/>
      <w:r w:rsidR="002B20E9" w:rsidRPr="002B20E9">
        <w:rPr>
          <w:rFonts w:ascii="Calibri" w:hAnsi="Calibri" w:cs="Calibri"/>
          <w:sz w:val="22"/>
          <w:szCs w:val="22"/>
          <w:lang w:val="en-GB"/>
        </w:rPr>
        <w:t>hypochlorous</w:t>
      </w:r>
      <w:proofErr w:type="spellEnd"/>
      <w:r w:rsidR="002B20E9">
        <w:rPr>
          <w:rFonts w:ascii="Calibri" w:hAnsi="Calibri" w:cs="Calibri"/>
          <w:sz w:val="22"/>
          <w:szCs w:val="22"/>
          <w:lang w:val="en-GB"/>
        </w:rPr>
        <w:t xml:space="preserve"> acid (</w:t>
      </w:r>
      <w:proofErr w:type="spellStart"/>
      <w:r w:rsidR="002B20E9">
        <w:rPr>
          <w:rFonts w:ascii="Calibri" w:hAnsi="Calibri" w:cs="Calibri"/>
          <w:sz w:val="22"/>
          <w:szCs w:val="22"/>
          <w:lang w:val="en-GB"/>
        </w:rPr>
        <w:t>HOCl</w:t>
      </w:r>
      <w:proofErr w:type="spellEnd"/>
      <w:r w:rsidR="002B20E9">
        <w:rPr>
          <w:rFonts w:ascii="Calibri" w:hAnsi="Calibri" w:cs="Calibri"/>
          <w:sz w:val="22"/>
          <w:szCs w:val="22"/>
          <w:lang w:val="en-GB"/>
        </w:rPr>
        <w:t>) detection</w:t>
      </w:r>
      <w:r w:rsidR="00F76A5A">
        <w:rPr>
          <w:rFonts w:ascii="Calibri" w:hAnsi="Calibri" w:cs="Calibri"/>
          <w:sz w:val="22"/>
          <w:szCs w:val="22"/>
          <w:lang w:val="en-GB"/>
        </w:rPr>
        <w:t>.</w:t>
      </w:r>
      <w:r w:rsidR="00F633ED" w:rsidRPr="00F633ED">
        <w:rPr>
          <w:rFonts w:ascii="Calibri" w:hAnsi="Calibri" w:cs="Calibri"/>
          <w:sz w:val="22"/>
          <w:szCs w:val="22"/>
          <w:vertAlign w:val="superscript"/>
          <w:lang w:val="en-GB"/>
        </w:rPr>
        <w:t>3</w:t>
      </w:r>
      <w:proofErr w:type="gramEnd"/>
      <w:r w:rsidR="00F76A5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44FDF41" w14:textId="6C9E6E0B" w:rsidR="00F267C2" w:rsidRDefault="00885CB3" w:rsidP="00F12DC5">
      <w:pPr>
        <w:spacing w:before="120" w:after="120"/>
        <w:jc w:val="both"/>
        <w:rPr>
          <w:rFonts w:ascii="Calibri" w:hAnsi="Calibri" w:cs="Calibri"/>
          <w:sz w:val="22"/>
          <w:szCs w:val="22"/>
          <w:lang w:val="en-AU"/>
        </w:rPr>
      </w:pPr>
      <w:r w:rsidRPr="00885CB3">
        <w:rPr>
          <w:rFonts w:ascii="Calibri" w:hAnsi="Calibri" w:cs="Calibri"/>
          <w:b/>
          <w:sz w:val="22"/>
          <w:szCs w:val="22"/>
          <w:lang w:val="en-AU"/>
        </w:rPr>
        <w:t xml:space="preserve">Results and Discussion: </w:t>
      </w:r>
      <w:r w:rsidR="00F921A0">
        <w:rPr>
          <w:rFonts w:ascii="Calibri" w:hAnsi="Calibri" w:cs="Calibri"/>
          <w:sz w:val="22"/>
          <w:szCs w:val="22"/>
          <w:lang w:val="en-AU"/>
        </w:rPr>
        <w:t xml:space="preserve">Our recent research led to a new </w:t>
      </w:r>
      <w:proofErr w:type="spellStart"/>
      <w:r w:rsidR="00F267C2">
        <w:rPr>
          <w:rFonts w:ascii="Calibri" w:hAnsi="Calibri" w:cs="Calibri"/>
          <w:sz w:val="22"/>
          <w:szCs w:val="22"/>
          <w:lang w:val="en-AU"/>
        </w:rPr>
        <w:t>upconversion</w:t>
      </w:r>
      <w:proofErr w:type="spellEnd"/>
      <w:r w:rsidR="00F267C2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267C2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F267C2">
        <w:rPr>
          <w:rFonts w:ascii="Calibri" w:hAnsi="Calibri" w:cs="Calibri"/>
          <w:sz w:val="22"/>
          <w:szCs w:val="22"/>
          <w:lang w:val="en-AU"/>
        </w:rPr>
        <w:t xml:space="preserve">-biosensor for background-free </w:t>
      </w:r>
      <w:proofErr w:type="spellStart"/>
      <w:r w:rsidR="00F267C2">
        <w:rPr>
          <w:rFonts w:ascii="Calibri" w:hAnsi="Calibri" w:cs="Calibri"/>
          <w:sz w:val="22"/>
          <w:szCs w:val="22"/>
          <w:lang w:val="en-AU"/>
        </w:rPr>
        <w:t>HOCl</w:t>
      </w:r>
      <w:proofErr w:type="spellEnd"/>
      <w:r w:rsidR="00F267C2">
        <w:rPr>
          <w:rFonts w:ascii="Calibri" w:hAnsi="Calibri" w:cs="Calibri"/>
          <w:sz w:val="22"/>
          <w:szCs w:val="22"/>
          <w:lang w:val="en-AU"/>
        </w:rPr>
        <w:t xml:space="preserve"> detection </w:t>
      </w:r>
      <w:r w:rsidR="00F267C2" w:rsidRPr="007E61F8">
        <w:rPr>
          <w:rFonts w:ascii="Calibri" w:hAnsi="Calibri" w:cs="Calibri"/>
          <w:i/>
          <w:sz w:val="22"/>
          <w:szCs w:val="22"/>
          <w:lang w:val="en-AU"/>
        </w:rPr>
        <w:t>in vitro</w:t>
      </w:r>
      <w:r w:rsidR="00F267C2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F267C2" w:rsidRPr="007E61F8">
        <w:rPr>
          <w:rFonts w:ascii="Calibri" w:hAnsi="Calibri" w:cs="Calibri"/>
          <w:i/>
          <w:sz w:val="22"/>
          <w:szCs w:val="22"/>
          <w:lang w:val="en-AU"/>
        </w:rPr>
        <w:t>in vivo</w:t>
      </w:r>
      <w:r w:rsidR="00F267C2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This Ru@UCNP </w:t>
      </w:r>
      <w:r w:rsidR="009C1E26">
        <w:rPr>
          <w:rFonts w:ascii="Calibri" w:hAnsi="Calibri" w:cs="Calibri"/>
          <w:sz w:val="22"/>
          <w:szCs w:val="22"/>
          <w:lang w:val="de-DE"/>
        </w:rPr>
        <w:t>nano</w:t>
      </w:r>
      <w:r w:rsidR="00F267C2">
        <w:rPr>
          <w:rFonts w:ascii="Calibri" w:hAnsi="Calibri" w:cs="Calibri"/>
          <w:sz w:val="22"/>
          <w:szCs w:val="22"/>
          <w:lang w:val="de-DE"/>
        </w:rPr>
        <w:t xml:space="preserve">sensor 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consists of two functional components, </w:t>
      </w:r>
      <w:r w:rsidR="00F921A0" w:rsidRPr="009C1E26">
        <w:rPr>
          <w:rFonts w:ascii="Calibri" w:hAnsi="Calibri" w:cs="Calibri"/>
          <w:i/>
          <w:sz w:val="22"/>
          <w:szCs w:val="22"/>
          <w:lang w:val="de-DE"/>
        </w:rPr>
        <w:t>i.e.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  NaYF</w:t>
      </w:r>
      <w:r w:rsidR="00F921A0" w:rsidRPr="00F921A0">
        <w:rPr>
          <w:rFonts w:ascii="Calibri" w:hAnsi="Calibri" w:cs="Calibri"/>
          <w:sz w:val="22"/>
          <w:szCs w:val="22"/>
          <w:vertAlign w:val="subscript"/>
          <w:lang w:val="de-DE"/>
        </w:rPr>
        <w:t>4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: Yb, Tm 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UCNPs 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that can convert near infrared (NIR) light to visible light as the energy donor, and a HOCl-responsive ruthenium(II) complex 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>[Ru(</w:t>
      </w:r>
      <w:proofErr w:type="spellStart"/>
      <w:r w:rsidR="00F921A0" w:rsidRPr="00F921A0">
        <w:rPr>
          <w:rFonts w:ascii="Calibri" w:hAnsi="Calibri" w:cs="Calibri"/>
          <w:sz w:val="22"/>
          <w:szCs w:val="22"/>
          <w:lang w:val="en-AU"/>
        </w:rPr>
        <w:t>bpy</w:t>
      </w:r>
      <w:proofErr w:type="spellEnd"/>
      <w:r w:rsidR="00F921A0" w:rsidRPr="00F921A0">
        <w:rPr>
          <w:rFonts w:ascii="Calibri" w:hAnsi="Calibri" w:cs="Calibri"/>
          <w:sz w:val="22"/>
          <w:szCs w:val="22"/>
          <w:lang w:val="en-AU"/>
        </w:rPr>
        <w:t>)</w:t>
      </w:r>
      <w:r w:rsidR="00F921A0" w:rsidRPr="00F921A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>(DNCH-</w:t>
      </w:r>
      <w:proofErr w:type="spellStart"/>
      <w:r w:rsidR="00F921A0" w:rsidRPr="00F921A0">
        <w:rPr>
          <w:rFonts w:ascii="Calibri" w:hAnsi="Calibri" w:cs="Calibri"/>
          <w:sz w:val="22"/>
          <w:szCs w:val="22"/>
          <w:lang w:val="en-AU"/>
        </w:rPr>
        <w:t>bpy</w:t>
      </w:r>
      <w:proofErr w:type="spellEnd"/>
      <w:r w:rsidR="00F921A0" w:rsidRPr="00F921A0">
        <w:rPr>
          <w:rFonts w:ascii="Calibri" w:hAnsi="Calibri" w:cs="Calibri"/>
          <w:sz w:val="22"/>
          <w:szCs w:val="22"/>
          <w:lang w:val="en-AU"/>
        </w:rPr>
        <w:t>)](PF</w:t>
      </w:r>
      <w:r w:rsidR="00F921A0" w:rsidRPr="00F921A0">
        <w:rPr>
          <w:rFonts w:ascii="Calibri" w:hAnsi="Calibri" w:cs="Calibri"/>
          <w:sz w:val="22"/>
          <w:szCs w:val="22"/>
          <w:vertAlign w:val="subscript"/>
          <w:lang w:val="en-AU"/>
        </w:rPr>
        <w:t>6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>)</w:t>
      </w:r>
      <w:r w:rsidR="00F921A0" w:rsidRPr="00F921A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 (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>Ru-DNPH)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 as the energy acceptor and also the upconversion luminescence (UCL) quencher. Within this luminescence resonance energy transfer (LRET) nanoprobe system, the upconversion luminescence (UCL) 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OFF-ON 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>emission was triggered specifically by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921A0" w:rsidRPr="00F921A0">
        <w:rPr>
          <w:rFonts w:ascii="Calibri" w:hAnsi="Calibri" w:cs="Calibri"/>
          <w:sz w:val="22"/>
          <w:szCs w:val="22"/>
          <w:lang w:val="en-AU"/>
        </w:rPr>
        <w:t>HOCl</w:t>
      </w:r>
      <w:proofErr w:type="spellEnd"/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. This triggering reaction enables the detection of </w:t>
      </w:r>
      <w:proofErr w:type="spellStart"/>
      <w:r w:rsidR="00F921A0" w:rsidRPr="00F921A0">
        <w:rPr>
          <w:rFonts w:ascii="Calibri" w:hAnsi="Calibri" w:cs="Calibri"/>
          <w:sz w:val="22"/>
          <w:szCs w:val="22"/>
          <w:lang w:val="en-AU"/>
        </w:rPr>
        <w:t>HOCl</w:t>
      </w:r>
      <w:proofErr w:type="spellEnd"/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 in aqueous solution and biological systems. As an example of applications, 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>Ru@UCNPs</w:t>
      </w:r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921A0" w:rsidRPr="00F921A0">
        <w:rPr>
          <w:rFonts w:ascii="Calibri" w:hAnsi="Calibri" w:cs="Calibri"/>
          <w:sz w:val="22"/>
          <w:szCs w:val="22"/>
          <w:lang w:val="en-AU"/>
        </w:rPr>
        <w:t>nanoprobe</w:t>
      </w:r>
      <w:proofErr w:type="spellEnd"/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 was loaded </w:t>
      </w:r>
      <w:proofErr w:type="gramStart"/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onto test papers for semi-quantitative </w:t>
      </w:r>
      <w:proofErr w:type="spellStart"/>
      <w:r w:rsidR="00F921A0" w:rsidRPr="00F921A0">
        <w:rPr>
          <w:rFonts w:ascii="Calibri" w:hAnsi="Calibri" w:cs="Calibri"/>
          <w:sz w:val="22"/>
          <w:szCs w:val="22"/>
          <w:lang w:val="en-AU"/>
        </w:rPr>
        <w:t>HOCl</w:t>
      </w:r>
      <w:proofErr w:type="spellEnd"/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 detection without any interference from the background fluorescence</w:t>
      </w:r>
      <w:proofErr w:type="gramEnd"/>
      <w:r w:rsidR="00F921A0" w:rsidRPr="00F921A0">
        <w:rPr>
          <w:rFonts w:ascii="Calibri" w:hAnsi="Calibri" w:cs="Calibri"/>
          <w:sz w:val="22"/>
          <w:szCs w:val="22"/>
          <w:lang w:val="en-AU"/>
        </w:rPr>
        <w:t xml:space="preserve">. The application of </w:t>
      </w:r>
      <w:r w:rsidR="00F921A0" w:rsidRPr="00F921A0">
        <w:rPr>
          <w:rFonts w:ascii="Calibri" w:hAnsi="Calibri" w:cs="Calibri"/>
          <w:sz w:val="22"/>
          <w:szCs w:val="22"/>
          <w:lang w:val="de-DE"/>
        </w:rPr>
        <w:t xml:space="preserve">Ru@UCNPs for background-free detection and visualization of HOCl in cells and mice </w:t>
      </w:r>
      <w:proofErr w:type="gramStart"/>
      <w:r w:rsidR="00F921A0" w:rsidRPr="00F921A0">
        <w:rPr>
          <w:rFonts w:ascii="Calibri" w:hAnsi="Calibri" w:cs="Calibri"/>
          <w:sz w:val="22"/>
          <w:szCs w:val="22"/>
          <w:lang w:val="de-DE"/>
        </w:rPr>
        <w:t>was successfully demonstrated</w:t>
      </w:r>
      <w:proofErr w:type="gramEnd"/>
      <w:r w:rsidR="00F921A0" w:rsidRPr="00F921A0">
        <w:rPr>
          <w:rFonts w:ascii="Calibri" w:hAnsi="Calibri" w:cs="Calibri"/>
          <w:sz w:val="22"/>
          <w:szCs w:val="22"/>
          <w:lang w:val="de-DE"/>
        </w:rPr>
        <w:t>.</w:t>
      </w:r>
      <w:r w:rsidR="00F267C2" w:rsidRPr="00F267C2">
        <w:rPr>
          <w:rFonts w:ascii="Calibri" w:hAnsi="Calibri" w:cs="Calibri"/>
          <w:sz w:val="22"/>
          <w:szCs w:val="22"/>
          <w:lang w:val="de-DE"/>
        </w:rPr>
        <w:t xml:space="preserve"> This research has thus shown that Ru@UCNPs were a selective HOCl-responsive nanoprobe, providing a new way to detecting HOCl and a new strategy to develop novel nanoprobes for in situ detection of various biomarkers in cells and early disgnosis of animal diseases.  </w:t>
      </w:r>
    </w:p>
    <w:p w14:paraId="0BAC815F" w14:textId="4CB916E6" w:rsidR="002013D9" w:rsidRDefault="00F267C2" w:rsidP="00F12DC5">
      <w:pPr>
        <w:spacing w:before="120" w:after="120"/>
        <w:jc w:val="both"/>
        <w:rPr>
          <w:rFonts w:ascii="Calibri" w:hAnsi="Calibri" w:cs="Calibri"/>
          <w:sz w:val="22"/>
          <w:szCs w:val="22"/>
          <w:lang w:val="en-AU"/>
        </w:rPr>
      </w:pPr>
      <w:r w:rsidRPr="00DA7DE9">
        <w:rPr>
          <w:rFonts w:ascii="Calibri" w:hAnsi="Calibri" w:cs="Calibri"/>
          <w:b/>
          <w:sz w:val="22"/>
          <w:szCs w:val="22"/>
          <w:lang w:val="en-AU"/>
        </w:rPr>
        <w:t>Conclusions: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C3765" w:rsidRPr="004C3765">
        <w:rPr>
          <w:rFonts w:ascii="Calibri" w:hAnsi="Calibri" w:cs="Calibri"/>
          <w:sz w:val="22"/>
          <w:szCs w:val="22"/>
          <w:lang w:val="de-DE"/>
        </w:rPr>
        <w:t xml:space="preserve">The successful development of a new NIR-excitable nanoprobe thus provides a robust </w:t>
      </w:r>
      <w:r w:rsidR="004C3765">
        <w:rPr>
          <w:rFonts w:ascii="Calibri" w:hAnsi="Calibri" w:cs="Calibri"/>
          <w:sz w:val="22"/>
          <w:szCs w:val="22"/>
          <w:lang w:val="de-DE"/>
        </w:rPr>
        <w:t>approach</w:t>
      </w:r>
      <w:r w:rsidR="004C3765" w:rsidRPr="004C3765">
        <w:rPr>
          <w:rFonts w:ascii="Calibri" w:hAnsi="Calibri" w:cs="Calibri"/>
          <w:sz w:val="22"/>
          <w:szCs w:val="22"/>
          <w:lang w:val="de-DE"/>
        </w:rPr>
        <w:t xml:space="preserve"> for </w:t>
      </w:r>
      <w:r w:rsidR="004C3765">
        <w:rPr>
          <w:rFonts w:ascii="Calibri" w:hAnsi="Calibri" w:cs="Calibri"/>
          <w:sz w:val="22"/>
          <w:szCs w:val="22"/>
          <w:lang w:val="de-DE"/>
        </w:rPr>
        <w:t>reactive biomarker</w:t>
      </w:r>
      <w:r w:rsidR="004C3765" w:rsidRPr="004C3765">
        <w:rPr>
          <w:rFonts w:ascii="Calibri" w:hAnsi="Calibri" w:cs="Calibri"/>
          <w:sz w:val="22"/>
          <w:szCs w:val="22"/>
          <w:lang w:val="de-DE"/>
        </w:rPr>
        <w:t xml:space="preserve"> detection as well as a new strategy for the design of UCL-based nanoprobe.</w:t>
      </w:r>
      <w:r w:rsidR="004C3765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787F3E">
        <w:rPr>
          <w:rFonts w:ascii="Calibri" w:hAnsi="Calibri" w:cs="Calibri"/>
          <w:sz w:val="22"/>
          <w:szCs w:val="22"/>
          <w:lang w:val="de-DE"/>
        </w:rPr>
        <w:t xml:space="preserve">We will also discuss the other two strategies, including </w:t>
      </w:r>
      <w:r w:rsidR="00787F3E">
        <w:rPr>
          <w:rFonts w:ascii="Calibri" w:hAnsi="Calibri" w:cs="Calibri"/>
          <w:sz w:val="22"/>
          <w:szCs w:val="22"/>
          <w:lang w:val="en-GB"/>
        </w:rPr>
        <w:t xml:space="preserve">time-gated luminescence and </w:t>
      </w:r>
      <w:proofErr w:type="spellStart"/>
      <w:r w:rsidR="00787F3E">
        <w:rPr>
          <w:rFonts w:ascii="Calibri" w:hAnsi="Calibri" w:cs="Calibri"/>
          <w:sz w:val="22"/>
          <w:szCs w:val="22"/>
          <w:lang w:val="en-GB"/>
        </w:rPr>
        <w:t>photoswitchable</w:t>
      </w:r>
      <w:proofErr w:type="spellEnd"/>
      <w:r w:rsidR="00787F3E">
        <w:rPr>
          <w:rFonts w:ascii="Calibri" w:hAnsi="Calibri" w:cs="Calibri"/>
          <w:sz w:val="22"/>
          <w:szCs w:val="22"/>
          <w:lang w:val="en-GB"/>
        </w:rPr>
        <w:t xml:space="preserve"> “double-checked” luminescence-based </w:t>
      </w:r>
      <w:proofErr w:type="spellStart"/>
      <w:r w:rsidR="00787F3E">
        <w:rPr>
          <w:rFonts w:ascii="Calibri" w:hAnsi="Calibri" w:cs="Calibri"/>
          <w:sz w:val="22"/>
          <w:szCs w:val="22"/>
          <w:lang w:val="en-GB"/>
        </w:rPr>
        <w:t>nanosensors</w:t>
      </w:r>
      <w:proofErr w:type="spellEnd"/>
      <w:r w:rsidR="00787F3E">
        <w:rPr>
          <w:rFonts w:ascii="Calibri" w:hAnsi="Calibri" w:cs="Calibri"/>
          <w:sz w:val="22"/>
          <w:szCs w:val="22"/>
          <w:lang w:val="en-GB"/>
        </w:rPr>
        <w:t xml:space="preserve"> in the conference. </w:t>
      </w:r>
    </w:p>
    <w:p w14:paraId="193725D9" w14:textId="52D5785E" w:rsidR="005F19FF" w:rsidRPr="005F19FF" w:rsidRDefault="005F19FF" w:rsidP="00F12DC5">
      <w:pPr>
        <w:spacing w:before="120" w:after="120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3288248D" w:rsidR="00DC0ABB" w:rsidRDefault="00F12DC5" w:rsidP="00C77F62">
      <w:pPr>
        <w:numPr>
          <w:ilvl w:val="0"/>
          <w:numId w:val="1"/>
        </w:numPr>
        <w:shd w:val="clear" w:color="auto" w:fill="FFFFFF"/>
        <w:ind w:left="357" w:hanging="357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Zhang, R, et al.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2018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803A1B">
        <w:rPr>
          <w:rFonts w:asciiTheme="minorHAnsi" w:hAnsiTheme="minorHAnsi" w:cstheme="minorHAnsi"/>
          <w:i/>
          <w:sz w:val="22"/>
          <w:szCs w:val="22"/>
        </w:rPr>
        <w:t>TrAC</w:t>
      </w:r>
      <w:proofErr w:type="spellEnd"/>
      <w:r w:rsidRPr="00803A1B">
        <w:rPr>
          <w:rFonts w:asciiTheme="minorHAnsi" w:hAnsiTheme="minorHAnsi" w:cstheme="minorHAnsi"/>
          <w:i/>
          <w:sz w:val="22"/>
          <w:szCs w:val="22"/>
        </w:rPr>
        <w:t xml:space="preserve"> Trend. Anal. Chem</w:t>
      </w:r>
      <w:r w:rsidR="001A21AD" w:rsidRPr="00803A1B">
        <w:rPr>
          <w:rFonts w:asciiTheme="minorHAnsi" w:hAnsiTheme="minorHAnsi" w:cstheme="minorHAnsi"/>
          <w:i/>
          <w:sz w:val="22"/>
          <w:szCs w:val="22"/>
        </w:rPr>
        <w:t>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99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1-33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033E681D" w14:textId="5D15E5A0" w:rsidR="00F12DC5" w:rsidRDefault="00F12DC5" w:rsidP="00C77F62">
      <w:pPr>
        <w:numPr>
          <w:ilvl w:val="0"/>
          <w:numId w:val="1"/>
        </w:numPr>
        <w:shd w:val="clear" w:color="auto" w:fill="FFFFFF"/>
        <w:ind w:left="357" w:hanging="357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Du, Z, et al. (2018) </w:t>
      </w:r>
      <w:proofErr w:type="spellStart"/>
      <w:r w:rsidRPr="00803A1B">
        <w:rPr>
          <w:rFonts w:asciiTheme="minorHAnsi" w:hAnsiTheme="minorHAnsi" w:cstheme="minorHAnsi"/>
          <w:i/>
          <w:sz w:val="22"/>
          <w:szCs w:val="22"/>
          <w:lang w:eastAsia="en-AU"/>
        </w:rPr>
        <w:t>Angew</w:t>
      </w:r>
      <w:proofErr w:type="spellEnd"/>
      <w:r w:rsidRPr="00803A1B">
        <w:rPr>
          <w:rFonts w:asciiTheme="minorHAnsi" w:hAnsiTheme="minorHAnsi" w:cstheme="minorHAnsi"/>
          <w:i/>
          <w:sz w:val="22"/>
          <w:szCs w:val="22"/>
          <w:lang w:eastAsia="en-AU"/>
        </w:rPr>
        <w:t>. Chem. Int. Ed.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, 57, </w:t>
      </w:r>
      <w:r w:rsidRPr="00F12DC5">
        <w:rPr>
          <w:rFonts w:asciiTheme="minorHAnsi" w:hAnsiTheme="minorHAnsi" w:cstheme="minorHAnsi"/>
          <w:sz w:val="22"/>
          <w:szCs w:val="22"/>
          <w:lang w:eastAsia="en-AU"/>
        </w:rPr>
        <w:t>3999-4004</w:t>
      </w:r>
      <w:r w:rsidR="00C77F62"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Pr="00F12DC5">
        <w:rPr>
          <w:rFonts w:asciiTheme="minorHAnsi" w:hAnsiTheme="minorHAnsi" w:cstheme="minorHAnsi"/>
          <w:sz w:val="22"/>
          <w:szCs w:val="22"/>
          <w:lang w:eastAsia="en-AU"/>
        </w:rPr>
        <w:tab/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</w:p>
    <w:p w14:paraId="14B3BF2F" w14:textId="0B83BD1C" w:rsidR="00F12DC5" w:rsidRDefault="00F12DC5" w:rsidP="00C77F62">
      <w:pPr>
        <w:numPr>
          <w:ilvl w:val="0"/>
          <w:numId w:val="1"/>
        </w:numPr>
        <w:shd w:val="clear" w:color="auto" w:fill="FFFFFF"/>
        <w:ind w:left="357" w:hanging="357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Zhang, R. et al. (2019) </w:t>
      </w:r>
      <w:r w:rsidRPr="00803A1B">
        <w:rPr>
          <w:rFonts w:asciiTheme="minorHAnsi" w:hAnsiTheme="minorHAnsi" w:cstheme="minorHAnsi"/>
          <w:i/>
          <w:sz w:val="22"/>
          <w:szCs w:val="22"/>
          <w:lang w:eastAsia="en-AU"/>
        </w:rPr>
        <w:t>Small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, 15, </w:t>
      </w:r>
      <w:r w:rsidRPr="00F12DC5">
        <w:rPr>
          <w:rFonts w:asciiTheme="minorHAnsi" w:hAnsiTheme="minorHAnsi" w:cstheme="minorHAnsi"/>
          <w:sz w:val="22"/>
          <w:szCs w:val="22"/>
          <w:lang w:eastAsia="en-AU"/>
        </w:rPr>
        <w:t>1803712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</w:p>
    <w:p w14:paraId="4E2CA0F1" w14:textId="64F8956D" w:rsidR="00F12DC5" w:rsidRDefault="00F12DC5" w:rsidP="00C77F62">
      <w:pPr>
        <w:numPr>
          <w:ilvl w:val="0"/>
          <w:numId w:val="1"/>
        </w:numPr>
        <w:shd w:val="clear" w:color="auto" w:fill="FFFFFF"/>
        <w:ind w:left="357" w:hanging="357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Liu, C. et al. (2019) </w:t>
      </w:r>
      <w:r w:rsidR="00803A1B" w:rsidRPr="00803A1B">
        <w:rPr>
          <w:rFonts w:asciiTheme="minorHAnsi" w:hAnsiTheme="minorHAnsi" w:cstheme="minorHAnsi"/>
          <w:i/>
          <w:sz w:val="22"/>
          <w:szCs w:val="22"/>
          <w:lang w:eastAsia="en-AU"/>
        </w:rPr>
        <w:t>J. Am. Chem. Soc.</w:t>
      </w:r>
      <w:r w:rsidR="00803A1B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141, </w:t>
      </w:r>
      <w:r w:rsidRPr="00F12DC5">
        <w:rPr>
          <w:rFonts w:asciiTheme="minorHAnsi" w:hAnsiTheme="minorHAnsi" w:cstheme="minorHAnsi"/>
          <w:sz w:val="22"/>
          <w:szCs w:val="22"/>
          <w:lang w:eastAsia="en-AU"/>
        </w:rPr>
        <w:t>8462-8472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</w:p>
    <w:p w14:paraId="19A0A76F" w14:textId="5A9346CE" w:rsidR="00F97620" w:rsidRPr="00C77F62" w:rsidRDefault="00F12DC5" w:rsidP="00C77F62">
      <w:pPr>
        <w:numPr>
          <w:ilvl w:val="0"/>
          <w:numId w:val="1"/>
        </w:numPr>
        <w:shd w:val="clear" w:color="auto" w:fill="FFFFFF"/>
        <w:ind w:left="357" w:hanging="357"/>
        <w:jc w:val="both"/>
        <w:textAlignment w:val="top"/>
        <w:rPr>
          <w:rFonts w:ascii="Calibri" w:hAnsi="Calibri" w:cs="Calibri"/>
          <w:sz w:val="22"/>
          <w:szCs w:val="22"/>
          <w:lang w:val="en-AU"/>
        </w:rPr>
      </w:pPr>
      <w:r w:rsidRPr="00C77F62">
        <w:rPr>
          <w:rFonts w:asciiTheme="minorHAnsi" w:hAnsiTheme="minorHAnsi" w:cstheme="minorHAnsi"/>
          <w:sz w:val="22"/>
          <w:szCs w:val="22"/>
          <w:lang w:eastAsia="en-AU"/>
        </w:rPr>
        <w:t xml:space="preserve">Zhang, X. et al. (2019) Unpublished. </w:t>
      </w:r>
    </w:p>
    <w:sectPr w:rsidR="00F97620" w:rsidRPr="00C77F62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C5953"/>
    <w:rsid w:val="001A21AD"/>
    <w:rsid w:val="002013D9"/>
    <w:rsid w:val="002078AD"/>
    <w:rsid w:val="002226BB"/>
    <w:rsid w:val="00225236"/>
    <w:rsid w:val="002272B0"/>
    <w:rsid w:val="002B20E9"/>
    <w:rsid w:val="002D10B2"/>
    <w:rsid w:val="00300B92"/>
    <w:rsid w:val="0030585E"/>
    <w:rsid w:val="00356C39"/>
    <w:rsid w:val="00387491"/>
    <w:rsid w:val="003F3C59"/>
    <w:rsid w:val="00402EED"/>
    <w:rsid w:val="004115FA"/>
    <w:rsid w:val="00483B05"/>
    <w:rsid w:val="004C376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787F3E"/>
    <w:rsid w:val="007E61F8"/>
    <w:rsid w:val="00803A1B"/>
    <w:rsid w:val="00831A5F"/>
    <w:rsid w:val="00885CB3"/>
    <w:rsid w:val="008909C9"/>
    <w:rsid w:val="00900B4C"/>
    <w:rsid w:val="00947B77"/>
    <w:rsid w:val="009B2641"/>
    <w:rsid w:val="009B4F06"/>
    <w:rsid w:val="009C1E26"/>
    <w:rsid w:val="009E2228"/>
    <w:rsid w:val="009F06D6"/>
    <w:rsid w:val="00A15954"/>
    <w:rsid w:val="00A266B4"/>
    <w:rsid w:val="00A46C32"/>
    <w:rsid w:val="00A57F1E"/>
    <w:rsid w:val="00AA429C"/>
    <w:rsid w:val="00BC5FCC"/>
    <w:rsid w:val="00C1070B"/>
    <w:rsid w:val="00C60A71"/>
    <w:rsid w:val="00C77F62"/>
    <w:rsid w:val="00CB204F"/>
    <w:rsid w:val="00CC165A"/>
    <w:rsid w:val="00D55F3B"/>
    <w:rsid w:val="00DA2731"/>
    <w:rsid w:val="00DA7DE9"/>
    <w:rsid w:val="00DC0ABB"/>
    <w:rsid w:val="00DC4F51"/>
    <w:rsid w:val="00DF1C8E"/>
    <w:rsid w:val="00EF12F3"/>
    <w:rsid w:val="00F12DC5"/>
    <w:rsid w:val="00F267C2"/>
    <w:rsid w:val="00F26BBE"/>
    <w:rsid w:val="00F633ED"/>
    <w:rsid w:val="00F71726"/>
    <w:rsid w:val="00F76A5A"/>
    <w:rsid w:val="00F77862"/>
    <w:rsid w:val="00F921A0"/>
    <w:rsid w:val="00F97620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1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4211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Run Zhang</cp:lastModifiedBy>
  <cp:revision>35</cp:revision>
  <cp:lastPrinted>2013-06-13T05:15:00Z</cp:lastPrinted>
  <dcterms:created xsi:type="dcterms:W3CDTF">2019-05-29T23:58:00Z</dcterms:created>
  <dcterms:modified xsi:type="dcterms:W3CDTF">2019-08-19T05:20:00Z</dcterms:modified>
</cp:coreProperties>
</file>