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AD4E" w14:textId="7BD12192" w:rsidR="0079766B" w:rsidRPr="0079766B" w:rsidRDefault="0079766B">
      <w:pPr>
        <w:rPr>
          <w:rFonts w:cstheme="minorHAnsi"/>
          <w:sz w:val="32"/>
        </w:rPr>
      </w:pPr>
      <w:r w:rsidRPr="0079766B">
        <w:rPr>
          <w:rFonts w:cstheme="minorHAnsi"/>
          <w:sz w:val="32"/>
        </w:rPr>
        <w:t>Emerging trends in stimuli responsive nanomaterials for oral drug delivery</w:t>
      </w:r>
    </w:p>
    <w:p w14:paraId="7B26D46A" w14:textId="16704C7F" w:rsidR="0079766B" w:rsidRPr="0079766B" w:rsidRDefault="0079766B">
      <w:pPr>
        <w:rPr>
          <w:rFonts w:cstheme="minorHAnsi"/>
          <w:sz w:val="28"/>
          <w:vertAlign w:val="superscript"/>
        </w:rPr>
      </w:pPr>
      <w:r w:rsidRPr="0079766B">
        <w:rPr>
          <w:rFonts w:cstheme="minorHAnsi"/>
          <w:sz w:val="32"/>
        </w:rPr>
        <w:tab/>
      </w:r>
      <w:r w:rsidRPr="0079766B">
        <w:rPr>
          <w:rFonts w:cstheme="minorHAnsi"/>
          <w:sz w:val="32"/>
        </w:rPr>
        <w:tab/>
      </w:r>
      <w:r w:rsidRPr="0079766B">
        <w:rPr>
          <w:rFonts w:cstheme="minorHAnsi"/>
          <w:sz w:val="32"/>
        </w:rPr>
        <w:tab/>
      </w:r>
      <w:r w:rsidRPr="0079766B">
        <w:rPr>
          <w:rFonts w:cstheme="minorHAnsi"/>
          <w:sz w:val="32"/>
        </w:rPr>
        <w:tab/>
      </w:r>
      <w:r w:rsidRPr="0079766B">
        <w:rPr>
          <w:rFonts w:cstheme="minorHAnsi"/>
          <w:sz w:val="28"/>
        </w:rPr>
        <w:t>Amirali Popat, PhD</w:t>
      </w:r>
      <w:r w:rsidRPr="0079766B">
        <w:rPr>
          <w:rFonts w:cstheme="minorHAnsi"/>
          <w:sz w:val="28"/>
          <w:vertAlign w:val="superscript"/>
        </w:rPr>
        <w:t>1,2</w:t>
      </w:r>
    </w:p>
    <w:p w14:paraId="6D336E17" w14:textId="77777777" w:rsidR="0079766B" w:rsidRPr="0079766B" w:rsidRDefault="0079766B">
      <w:pPr>
        <w:rPr>
          <w:rFonts w:cstheme="minorHAnsi"/>
          <w:sz w:val="28"/>
          <w:vertAlign w:val="superscript"/>
        </w:rPr>
      </w:pPr>
    </w:p>
    <w:p w14:paraId="3429B6B4" w14:textId="4B119318" w:rsidR="0079766B" w:rsidRPr="0079766B" w:rsidRDefault="0079766B" w:rsidP="0079766B">
      <w:pPr>
        <w:spacing w:line="360" w:lineRule="auto"/>
        <w:jc w:val="both"/>
        <w:rPr>
          <w:rFonts w:cstheme="minorHAnsi"/>
        </w:rPr>
      </w:pPr>
      <w:r w:rsidRPr="0079766B">
        <w:rPr>
          <w:rFonts w:cstheme="minorHAnsi"/>
          <w:sz w:val="28"/>
          <w:vertAlign w:val="superscript"/>
        </w:rPr>
        <w:t>1</w:t>
      </w:r>
      <w:r w:rsidRPr="0079766B">
        <w:rPr>
          <w:rFonts w:cstheme="minorHAnsi"/>
        </w:rPr>
        <w:t>School of Pharmacy, The University of Queensland, Brisbane, QLD 4072, Australia</w:t>
      </w:r>
    </w:p>
    <w:p w14:paraId="3F52D9C7" w14:textId="525ECF0F" w:rsidR="0079766B" w:rsidRPr="0079766B" w:rsidRDefault="0079766B" w:rsidP="0079766B">
      <w:pPr>
        <w:spacing w:line="360" w:lineRule="auto"/>
        <w:jc w:val="both"/>
        <w:rPr>
          <w:rFonts w:cstheme="minorHAnsi"/>
        </w:rPr>
      </w:pPr>
      <w:r w:rsidRPr="0079766B">
        <w:rPr>
          <w:rFonts w:cstheme="minorHAnsi"/>
          <w:vertAlign w:val="superscript"/>
        </w:rPr>
        <w:t>2</w:t>
      </w:r>
      <w:r w:rsidRPr="0079766B">
        <w:rPr>
          <w:rFonts w:cstheme="minorHAnsi"/>
        </w:rPr>
        <w:t xml:space="preserve">Mater Research Institute – The University of Queensland, Translational Research Institute, 37 Kent St, </w:t>
      </w:r>
      <w:proofErr w:type="spellStart"/>
      <w:r w:rsidRPr="0079766B">
        <w:rPr>
          <w:rFonts w:cstheme="minorHAnsi"/>
        </w:rPr>
        <w:t>Woolloongabba</w:t>
      </w:r>
      <w:proofErr w:type="spellEnd"/>
      <w:r w:rsidRPr="0079766B">
        <w:rPr>
          <w:rFonts w:cstheme="minorHAnsi"/>
        </w:rPr>
        <w:t>, QLD 4102</w:t>
      </w:r>
    </w:p>
    <w:p w14:paraId="3406F2AA" w14:textId="77777777" w:rsidR="0079766B" w:rsidRPr="0079766B" w:rsidRDefault="0079766B" w:rsidP="0079766B">
      <w:pPr>
        <w:jc w:val="both"/>
        <w:rPr>
          <w:rFonts w:cstheme="minorHAnsi"/>
          <w:sz w:val="32"/>
        </w:rPr>
      </w:pPr>
    </w:p>
    <w:p w14:paraId="06D32453" w14:textId="204875C1" w:rsidR="0079766B" w:rsidRPr="0079766B" w:rsidRDefault="0079766B" w:rsidP="0079766B">
      <w:pPr>
        <w:spacing w:line="360" w:lineRule="auto"/>
        <w:jc w:val="both"/>
        <w:rPr>
          <w:rFonts w:cstheme="minorHAnsi"/>
          <w:b/>
        </w:rPr>
      </w:pPr>
      <w:r w:rsidRPr="0079766B">
        <w:rPr>
          <w:rFonts w:cstheme="minorHAnsi"/>
          <w:b/>
        </w:rPr>
        <w:t xml:space="preserve">Abstract: </w:t>
      </w:r>
    </w:p>
    <w:p w14:paraId="247A577F" w14:textId="385DF029" w:rsidR="0079766B" w:rsidRDefault="0079766B" w:rsidP="0079766B">
      <w:pPr>
        <w:spacing w:line="360" w:lineRule="auto"/>
        <w:jc w:val="both"/>
        <w:rPr>
          <w:rFonts w:eastAsia="Times New Roman" w:cstheme="minorHAnsi"/>
          <w:color w:val="000000"/>
          <w:lang w:val="en-AU"/>
        </w:rPr>
      </w:pPr>
      <w:r w:rsidRPr="0079766B">
        <w:rPr>
          <w:rFonts w:cstheme="minorHAnsi"/>
        </w:rPr>
        <w:t xml:space="preserve">Site specific oral delivery of many biopharmaceutical classification system (BCS) class II and IV molecules is challenging due to their poor solubility, permeability and potential degradation in the gastrointestinal tract. </w:t>
      </w:r>
      <w:r w:rsidRPr="00C05865">
        <w:rPr>
          <w:rFonts w:eastAsia="Times New Roman" w:cstheme="minorHAnsi"/>
          <w:color w:val="000000"/>
          <w:lang w:val="en-AU"/>
        </w:rPr>
        <w:t>The development of reliable oral delivery systems for problem drugs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biologics is one of the biggest challenges faced by the pharmaceutical industry in recent times. However, oral delivery of many small molecule drugs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most of the peptide drugs is challenging due to hostile environment in gastrointestinal tract, poor solubility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permeability. This results in their limited commercial use, as well as serious clinical development trade-offs that often result in poor efficacy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 xml:space="preserve">side effects associated with it. </w:t>
      </w:r>
      <w:r w:rsidRPr="0079766B">
        <w:rPr>
          <w:rFonts w:cstheme="minorHAnsi"/>
        </w:rPr>
        <w:t xml:space="preserve">The use of bio-responsive nanoparticles for improving the bioavailability of such drugs is gaining more and more attention. </w:t>
      </w:r>
      <w:r w:rsidRPr="0079766B">
        <w:rPr>
          <w:rFonts w:eastAsia="Times New Roman" w:cstheme="minorHAnsi"/>
          <w:color w:val="000000"/>
          <w:lang w:val="en-AU"/>
        </w:rPr>
        <w:t xml:space="preserve">However, most nanoparticle-based drug delivery systems suffer from many disadvantages, such as low encapsulation efficiency (liposomes, polymeric nanoparticles), complex synthesis methods (silica, silicon based materials) and poorly understood biodegradability (inorganic nanoparticles). </w:t>
      </w:r>
      <w:r w:rsidRPr="00C05865">
        <w:rPr>
          <w:rFonts w:eastAsia="Times New Roman" w:cstheme="minorHAnsi"/>
          <w:color w:val="000000"/>
          <w:lang w:val="en-AU"/>
        </w:rPr>
        <w:t>Therefore there is a compelling need for development of new generation of stimuli responsive materials with high loading capacity,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 xml:space="preserve">improved site specific delivery. We have developed several generation of mesoporous silica nanoparticles based </w:t>
      </w:r>
      <w:r w:rsidRPr="0079766B">
        <w:rPr>
          <w:rFonts w:eastAsia="Times New Roman" w:cstheme="minorHAnsi"/>
          <w:color w:val="000000"/>
          <w:lang w:val="en-AU"/>
        </w:rPr>
        <w:t>nanocomposites</w:t>
      </w:r>
      <w:r w:rsidRPr="00C05865">
        <w:rPr>
          <w:rFonts w:eastAsia="Times New Roman" w:cstheme="minorHAnsi"/>
          <w:color w:val="000000"/>
          <w:lang w:val="en-AU"/>
        </w:rPr>
        <w:t xml:space="preserve"> for oral delivery of small molecules ( Curcumin, </w:t>
      </w:r>
      <w:proofErr w:type="spellStart"/>
      <w:r w:rsidRPr="00C05865">
        <w:rPr>
          <w:rFonts w:eastAsia="Times New Roman" w:cstheme="minorHAnsi"/>
          <w:color w:val="000000"/>
          <w:lang w:val="en-AU"/>
        </w:rPr>
        <w:t>Vorinostat</w:t>
      </w:r>
      <w:proofErr w:type="spellEnd"/>
      <w:r w:rsidRPr="00C05865">
        <w:rPr>
          <w:rFonts w:eastAsia="Times New Roman" w:cstheme="minorHAnsi"/>
          <w:color w:val="000000"/>
          <w:lang w:val="en-AU"/>
        </w:rPr>
        <w:t>, Resveratrol )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and</w:t>
      </w:r>
      <w:r w:rsidRPr="0079766B">
        <w:rPr>
          <w:rFonts w:eastAsia="Times New Roman" w:cstheme="minorHAnsi"/>
          <w:color w:val="000000"/>
          <w:lang w:val="en-AU"/>
        </w:rPr>
        <w:t> </w:t>
      </w:r>
      <w:r w:rsidRPr="00C05865">
        <w:rPr>
          <w:rFonts w:eastAsia="Times New Roman" w:cstheme="minorHAnsi"/>
          <w:color w:val="000000"/>
          <w:lang w:val="en-AU"/>
        </w:rPr>
        <w:t>macromolecules ( Exenatide, Interlukin-22 ). Given that it takes more than 2 decades for a drug to become clinically available, our platform technology provide much-needed impetus in the area of oral drug delivery of challenging molecules.</w:t>
      </w:r>
    </w:p>
    <w:p w14:paraId="4B09BC8B" w14:textId="77777777" w:rsidR="0079766B" w:rsidRDefault="0079766B" w:rsidP="0079766B">
      <w:pPr>
        <w:spacing w:line="360" w:lineRule="auto"/>
        <w:jc w:val="both"/>
        <w:rPr>
          <w:rFonts w:eastAsia="Times New Roman" w:cstheme="minorHAnsi"/>
          <w:b/>
          <w:color w:val="000000"/>
          <w:lang w:val="en-AU"/>
        </w:rPr>
      </w:pPr>
    </w:p>
    <w:p w14:paraId="6A1CEEA4" w14:textId="5E82EC29" w:rsidR="00043EE1" w:rsidRPr="0079766B" w:rsidRDefault="008D50C2" w:rsidP="0079766B">
      <w:pPr>
        <w:spacing w:line="360" w:lineRule="auto"/>
        <w:jc w:val="both"/>
        <w:rPr>
          <w:rFonts w:cstheme="minorHAnsi"/>
        </w:rPr>
      </w:pPr>
      <w:r>
        <w:rPr>
          <w:rFonts w:eastAsia="Times New Roman" w:cstheme="minorHAnsi"/>
          <w:b/>
          <w:color w:val="000000"/>
          <w:lang w:val="en-AU"/>
        </w:rPr>
        <w:t>Acknowledgements</w:t>
      </w:r>
      <w:r w:rsidR="0079766B">
        <w:rPr>
          <w:rFonts w:eastAsia="Times New Roman" w:cstheme="minorHAnsi"/>
          <w:b/>
          <w:color w:val="000000"/>
          <w:lang w:val="en-AU"/>
        </w:rPr>
        <w:t xml:space="preserve"> : </w:t>
      </w:r>
      <w:r w:rsidR="0079766B">
        <w:rPr>
          <w:rFonts w:eastAsia="Times New Roman" w:cstheme="minorHAnsi"/>
          <w:color w:val="000000"/>
          <w:lang w:val="en-AU"/>
        </w:rPr>
        <w:t xml:space="preserve">We acknowledge funding received from National Health and Medical Research Council ( NHMRC), UQ school of Pharmacy, </w:t>
      </w:r>
      <w:r>
        <w:rPr>
          <w:rFonts w:eastAsia="Times New Roman" w:cstheme="minorHAnsi"/>
          <w:color w:val="000000"/>
          <w:lang w:val="en-AU"/>
        </w:rPr>
        <w:t xml:space="preserve">and </w:t>
      </w:r>
      <w:r w:rsidR="0079766B">
        <w:rPr>
          <w:rFonts w:eastAsia="Times New Roman" w:cstheme="minorHAnsi"/>
          <w:color w:val="000000"/>
          <w:lang w:val="en-AU"/>
        </w:rPr>
        <w:t>Mater Research Institute</w:t>
      </w:r>
      <w:r>
        <w:rPr>
          <w:rFonts w:eastAsia="Times New Roman" w:cstheme="minorHAnsi"/>
          <w:color w:val="000000"/>
          <w:lang w:val="en-AU"/>
        </w:rPr>
        <w:t xml:space="preserve">. </w:t>
      </w:r>
      <w:r w:rsidR="0079766B">
        <w:rPr>
          <w:rFonts w:eastAsia="Times New Roman" w:cstheme="minorHAnsi"/>
          <w:color w:val="000000"/>
          <w:lang w:val="en-AU"/>
        </w:rPr>
        <w:t xml:space="preserve"> </w:t>
      </w:r>
      <w:bookmarkStart w:id="0" w:name="_GoBack"/>
      <w:bookmarkEnd w:id="0"/>
    </w:p>
    <w:sectPr w:rsidR="00043EE1" w:rsidRPr="0079766B" w:rsidSect="004F2C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6B"/>
    <w:rsid w:val="00025641"/>
    <w:rsid w:val="000B2DA7"/>
    <w:rsid w:val="000C571C"/>
    <w:rsid w:val="000D28BF"/>
    <w:rsid w:val="00153C4D"/>
    <w:rsid w:val="00156056"/>
    <w:rsid w:val="00256F6F"/>
    <w:rsid w:val="002A07F7"/>
    <w:rsid w:val="002D0A17"/>
    <w:rsid w:val="002D631D"/>
    <w:rsid w:val="00336A78"/>
    <w:rsid w:val="0034582F"/>
    <w:rsid w:val="003579F2"/>
    <w:rsid w:val="00380275"/>
    <w:rsid w:val="003E2494"/>
    <w:rsid w:val="00442405"/>
    <w:rsid w:val="004475B7"/>
    <w:rsid w:val="004F2C00"/>
    <w:rsid w:val="00567A38"/>
    <w:rsid w:val="00583DEF"/>
    <w:rsid w:val="005B38B4"/>
    <w:rsid w:val="005B6BF3"/>
    <w:rsid w:val="0060451D"/>
    <w:rsid w:val="00655BE5"/>
    <w:rsid w:val="006665A0"/>
    <w:rsid w:val="00701E3F"/>
    <w:rsid w:val="00702B10"/>
    <w:rsid w:val="0071040F"/>
    <w:rsid w:val="00726ACF"/>
    <w:rsid w:val="0079766B"/>
    <w:rsid w:val="007C21AE"/>
    <w:rsid w:val="007D1E79"/>
    <w:rsid w:val="007F0A84"/>
    <w:rsid w:val="00803787"/>
    <w:rsid w:val="008313E0"/>
    <w:rsid w:val="0083161C"/>
    <w:rsid w:val="008344C6"/>
    <w:rsid w:val="008D50C2"/>
    <w:rsid w:val="008F6FB2"/>
    <w:rsid w:val="009431F0"/>
    <w:rsid w:val="00951157"/>
    <w:rsid w:val="00957421"/>
    <w:rsid w:val="00993843"/>
    <w:rsid w:val="009D1758"/>
    <w:rsid w:val="009D52A9"/>
    <w:rsid w:val="00A4479D"/>
    <w:rsid w:val="00A8288C"/>
    <w:rsid w:val="00AD4D44"/>
    <w:rsid w:val="00B54CEE"/>
    <w:rsid w:val="00B75290"/>
    <w:rsid w:val="00C400DA"/>
    <w:rsid w:val="00C75577"/>
    <w:rsid w:val="00CB58F7"/>
    <w:rsid w:val="00D825CD"/>
    <w:rsid w:val="00D9222D"/>
    <w:rsid w:val="00DD4F9A"/>
    <w:rsid w:val="00E02691"/>
    <w:rsid w:val="00E5772F"/>
    <w:rsid w:val="00EC3AF4"/>
    <w:rsid w:val="00EE1C44"/>
    <w:rsid w:val="00F428A4"/>
    <w:rsid w:val="00F57A59"/>
    <w:rsid w:val="00F6552E"/>
    <w:rsid w:val="00F74ADA"/>
    <w:rsid w:val="00F8342A"/>
    <w:rsid w:val="00FC4748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AF889"/>
  <w14:defaultImageDpi w14:val="32767"/>
  <w15:chartTrackingRefBased/>
  <w15:docId w15:val="{9A5E247C-8931-5147-992A-10B87637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 Popat</dc:creator>
  <cp:keywords/>
  <dc:description/>
  <cp:lastModifiedBy>Amirali Popat</cp:lastModifiedBy>
  <cp:revision>1</cp:revision>
  <dcterms:created xsi:type="dcterms:W3CDTF">2019-10-30T06:12:00Z</dcterms:created>
  <dcterms:modified xsi:type="dcterms:W3CDTF">2019-10-30T06:31:00Z</dcterms:modified>
</cp:coreProperties>
</file>