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36C7" w14:textId="316DAC4C" w:rsidR="0085758B" w:rsidRDefault="0075530D" w:rsidP="00C315D2">
      <w:pPr>
        <w:spacing w:after="0" w:line="240" w:lineRule="auto"/>
        <w:rPr>
          <w:rFonts w:ascii="Arial" w:eastAsia="Calibri" w:hAnsi="Arial" w:cs="Calibri"/>
          <w:b/>
          <w:bCs/>
          <w:kern w:val="0"/>
          <w:lang w:val="en-US"/>
          <w14:ligatures w14:val="none"/>
        </w:rPr>
      </w:pPr>
      <w:r w:rsidRPr="0075530D">
        <w:rPr>
          <w:rFonts w:ascii="Arial" w:eastAsia="Calibri" w:hAnsi="Arial" w:cs="Calibri"/>
          <w:b/>
          <w:bCs/>
          <w:kern w:val="0"/>
          <w14:ligatures w14:val="none"/>
        </w:rPr>
        <w:t>Jet-Milled Nasal Dry Powder Inhalers for Enhanced Nose-to-Brain Delivery of Sumatriptan</w:t>
      </w:r>
    </w:p>
    <w:p w14:paraId="79141BD9" w14:textId="60DD1A37" w:rsidR="00C315D2" w:rsidRPr="00C315D2" w:rsidRDefault="00771534" w:rsidP="00C315D2">
      <w:pPr>
        <w:spacing w:after="0" w:line="240" w:lineRule="auto"/>
        <w:rPr>
          <w:rFonts w:ascii="Arial" w:eastAsia="Calibri" w:hAnsi="Arial" w:cs="Calibri"/>
          <w:bCs/>
          <w:kern w:val="0"/>
          <w:sz w:val="20"/>
          <w:szCs w:val="20"/>
          <w14:ligatures w14:val="none"/>
        </w:rPr>
      </w:pPr>
      <w:proofErr w:type="spellStart"/>
      <w:r>
        <w:rPr>
          <w:rFonts w:ascii="Arial" w:eastAsia="맑은 고딕" w:hAnsi="Arial" w:cs="Calibri" w:hint="eastAsia"/>
          <w:b/>
          <w:kern w:val="0"/>
          <w:sz w:val="20"/>
          <w:szCs w:val="20"/>
          <w:u w:val="single"/>
          <w:lang w:eastAsia="ko-KR"/>
          <w14:ligatures w14:val="none"/>
        </w:rPr>
        <w:t>Miseon</w:t>
      </w:r>
      <w:proofErr w:type="spellEnd"/>
      <w:r w:rsidR="00E23CA3">
        <w:rPr>
          <w:rFonts w:ascii="Arial" w:eastAsia="Calibri" w:hAnsi="Arial" w:cs="Calibri"/>
          <w:b/>
          <w:kern w:val="0"/>
          <w:sz w:val="20"/>
          <w:szCs w:val="20"/>
          <w:u w:val="single"/>
          <w14:ligatures w14:val="none"/>
        </w:rPr>
        <w:t xml:space="preserve"> </w:t>
      </w:r>
      <w:r>
        <w:rPr>
          <w:rFonts w:ascii="Arial" w:eastAsia="맑은 고딕" w:hAnsi="Arial" w:cs="Calibri" w:hint="eastAsia"/>
          <w:b/>
          <w:kern w:val="0"/>
          <w:sz w:val="20"/>
          <w:szCs w:val="20"/>
          <w:u w:val="single"/>
          <w:lang w:eastAsia="ko-KR"/>
          <w14:ligatures w14:val="none"/>
        </w:rPr>
        <w:t>Na</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sidR="00E23CA3" w:rsidRPr="00E23CA3">
        <w:rPr>
          <w:rFonts w:ascii="Arial" w:eastAsia="Calibri" w:hAnsi="Arial" w:cs="Calibri"/>
          <w:bCs/>
          <w:kern w:val="0"/>
          <w:sz w:val="20"/>
          <w:szCs w:val="20"/>
          <w14:ligatures w14:val="none"/>
        </w:rPr>
        <w:t>Heejun</w:t>
      </w:r>
      <w:proofErr w:type="spellEnd"/>
      <w:r w:rsidR="00E23CA3" w:rsidRPr="00E23CA3">
        <w:rPr>
          <w:rFonts w:ascii="Arial" w:eastAsia="Calibri" w:hAnsi="Arial" w:cs="Calibri"/>
          <w:bCs/>
          <w:kern w:val="0"/>
          <w:sz w:val="20"/>
          <w:szCs w:val="20"/>
          <w14:ligatures w14:val="none"/>
        </w:rPr>
        <w:t xml:space="preserve"> Park</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137D4547" w14:textId="515457AC" w:rsidR="00C315D2" w:rsidRPr="00E23CA3" w:rsidRDefault="00D237FE" w:rsidP="4FE71DF4">
      <w:pPr>
        <w:spacing w:after="0" w:line="240" w:lineRule="auto"/>
        <w:rPr>
          <w:rFonts w:ascii="Arial" w:eastAsia="Calibri" w:hAnsi="Arial" w:cs="Calibri"/>
          <w:bCs/>
          <w:kern w:val="0"/>
          <w:sz w:val="20"/>
          <w:szCs w:val="20"/>
          <w14:ligatures w14:val="none"/>
        </w:rPr>
      </w:pPr>
      <w:r w:rsidRPr="00D237FE">
        <w:rPr>
          <w:rFonts w:ascii="Arial" w:eastAsia="Calibri" w:hAnsi="Arial" w:cs="Calibri"/>
          <w:bCs/>
          <w:kern w:val="0"/>
          <w:sz w:val="20"/>
          <w:szCs w:val="20"/>
          <w14:ligatures w14:val="none"/>
        </w:rPr>
        <w:t xml:space="preserve">Pharmaceutical Research Laboratory, Department of Pharmacy, </w:t>
      </w:r>
      <w:proofErr w:type="spellStart"/>
      <w:r w:rsidRPr="00D237FE">
        <w:rPr>
          <w:rFonts w:ascii="Arial" w:eastAsia="Calibri" w:hAnsi="Arial" w:cs="Calibri"/>
          <w:bCs/>
          <w:kern w:val="0"/>
          <w:sz w:val="20"/>
          <w:szCs w:val="20"/>
          <w14:ligatures w14:val="none"/>
        </w:rPr>
        <w:t>Duksung</w:t>
      </w:r>
      <w:proofErr w:type="spellEnd"/>
      <w:r w:rsidRPr="00D237FE">
        <w:rPr>
          <w:rFonts w:ascii="Arial" w:eastAsia="Calibri" w:hAnsi="Arial" w:cs="Calibri"/>
          <w:bCs/>
          <w:kern w:val="0"/>
          <w:sz w:val="20"/>
          <w:szCs w:val="20"/>
          <w14:ligatures w14:val="none"/>
        </w:rPr>
        <w:t xml:space="preserve"> Women’s University, Seoul, South Korea</w:t>
      </w:r>
      <w:r w:rsidR="00E23CA3" w:rsidRPr="00C315D2">
        <w:rPr>
          <w:rFonts w:ascii="Arial" w:eastAsia="Calibri" w:hAnsi="Arial" w:cs="Calibri"/>
          <w:bCs/>
          <w:kern w:val="0"/>
          <w:sz w:val="20"/>
          <w:szCs w:val="20"/>
          <w:vertAlign w:val="superscript"/>
          <w14:ligatures w14:val="none"/>
        </w:rPr>
        <w:t>1</w:t>
      </w:r>
      <w:r w:rsidR="00E23CA3">
        <w:rPr>
          <w:rFonts w:ascii="Arial" w:eastAsia="Calibri" w:hAnsi="Arial" w:cs="Calibri"/>
          <w:bCs/>
          <w:kern w:val="0"/>
          <w:sz w:val="20"/>
          <w:szCs w:val="20"/>
          <w14:ligatures w14:val="none"/>
        </w:rPr>
        <w:t>.</w:t>
      </w:r>
    </w:p>
    <w:p w14:paraId="2DD37039" w14:textId="696422AE"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53D4685A" w:rsidR="00C315D2" w:rsidRPr="00C315D2" w:rsidRDefault="00B8473A" w:rsidP="008239FB">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CE0181" w:rsidRPr="00CE0181">
        <w:rPr>
          <w:rFonts w:ascii="Arial" w:eastAsia="Calibri" w:hAnsi="Arial" w:cs="Calibri"/>
          <w:bCs/>
          <w:kern w:val="0"/>
          <w:sz w:val="20"/>
          <w:szCs w:val="20"/>
          <w14:ligatures w14:val="none"/>
        </w:rPr>
        <w:t xml:space="preserve">Sumatriptan succinate (SS), a selective 5-HT1B/1D receptor agonist, is widely used for acute migraine therapy. However, its efficacy is limited by first-pass metabolism and the blood–brain barrier (BBB), delaying onset and reducing CNS drug delivery. Nose-to-brain (N2B) delivery offers a </w:t>
      </w:r>
      <w:proofErr w:type="spellStart"/>
      <w:r w:rsidR="00CE0181" w:rsidRPr="00CE0181">
        <w:rPr>
          <w:rFonts w:ascii="Arial" w:eastAsia="Calibri" w:hAnsi="Arial" w:cs="Calibri"/>
          <w:bCs/>
          <w:kern w:val="0"/>
          <w:sz w:val="20"/>
          <w:szCs w:val="20"/>
          <w14:ligatures w14:val="none"/>
        </w:rPr>
        <w:t>noninvasive</w:t>
      </w:r>
      <w:proofErr w:type="spellEnd"/>
      <w:r w:rsidR="00CE0181" w:rsidRPr="00CE0181">
        <w:rPr>
          <w:rFonts w:ascii="Arial" w:eastAsia="Calibri" w:hAnsi="Arial" w:cs="Calibri"/>
          <w:bCs/>
          <w:kern w:val="0"/>
          <w:sz w:val="20"/>
          <w:szCs w:val="20"/>
          <w14:ligatures w14:val="none"/>
        </w:rPr>
        <w:t xml:space="preserve"> route to bypass the BBB and enhance brain targeting. This study aims to design and optimize a dry powder inhaler (DPI) formulation of SS via jet milling (JM), guided by a design of experiments (DoE) strategy, to establish a viable platform for N2B delivery.</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1387B9C3" w14:textId="0F7629D3" w:rsidR="00C315D2" w:rsidRDefault="00C315D2" w:rsidP="00C315D2">
      <w:pPr>
        <w:spacing w:after="0" w:line="240" w:lineRule="auto"/>
        <w:jc w:val="both"/>
        <w:rPr>
          <w:rFonts w:ascii="Arial" w:eastAsia="맑은 고딕" w:hAnsi="Arial" w:cs="Calibri"/>
          <w:bCs/>
          <w:kern w:val="0"/>
          <w:sz w:val="20"/>
          <w:szCs w:val="20"/>
          <w:lang w:eastAsia="ko-KR"/>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353BE6" w:rsidRPr="00353BE6">
        <w:rPr>
          <w:rFonts w:ascii="Arial" w:eastAsia="Calibri" w:hAnsi="Arial" w:cs="Calibri"/>
          <w:bCs/>
          <w:kern w:val="0"/>
          <w:sz w:val="20"/>
          <w:szCs w:val="20"/>
          <w14:ligatures w14:val="none"/>
        </w:rPr>
        <w:t xml:space="preserve">A 4:1 mixture of lactose and sumatriptan was blended with 1–10% </w:t>
      </w:r>
      <w:proofErr w:type="spellStart"/>
      <w:r w:rsidR="00353BE6" w:rsidRPr="00353BE6">
        <w:rPr>
          <w:rFonts w:ascii="Arial" w:eastAsia="Calibri" w:hAnsi="Arial" w:cs="Calibri"/>
          <w:bCs/>
          <w:kern w:val="0"/>
          <w:sz w:val="20"/>
          <w:szCs w:val="20"/>
          <w14:ligatures w14:val="none"/>
        </w:rPr>
        <w:t>MgSt</w:t>
      </w:r>
      <w:proofErr w:type="spellEnd"/>
      <w:r w:rsidR="00353BE6" w:rsidRPr="00353BE6">
        <w:rPr>
          <w:rFonts w:ascii="Arial" w:eastAsia="Calibri" w:hAnsi="Arial" w:cs="Calibri"/>
          <w:bCs/>
          <w:kern w:val="0"/>
          <w:sz w:val="20"/>
          <w:szCs w:val="20"/>
          <w14:ligatures w14:val="none"/>
        </w:rPr>
        <w:t xml:space="preserve"> or L-leucine and ground for 5 min. The mixture was jet-milled (Sturtevant </w:t>
      </w:r>
      <w:proofErr w:type="spellStart"/>
      <w:r w:rsidR="00353BE6" w:rsidRPr="00353BE6">
        <w:rPr>
          <w:rFonts w:ascii="Arial" w:eastAsia="Calibri" w:hAnsi="Arial" w:cs="Calibri"/>
          <w:bCs/>
          <w:kern w:val="0"/>
          <w:sz w:val="20"/>
          <w:szCs w:val="20"/>
          <w14:ligatures w14:val="none"/>
        </w:rPr>
        <w:t>Micronizer</w:t>
      </w:r>
      <w:proofErr w:type="spellEnd"/>
      <w:r w:rsidR="00353BE6" w:rsidRPr="00353BE6">
        <w:rPr>
          <w:rFonts w:ascii="Arial" w:eastAsia="Calibri" w:hAnsi="Arial" w:cs="Calibri"/>
          <w:bCs/>
          <w:kern w:val="0"/>
          <w:sz w:val="20"/>
          <w:szCs w:val="20"/>
          <w14:ligatures w14:val="none"/>
        </w:rPr>
        <w:t>) under nitrogen at 600 kPa feed and 500 kPa grind pressure for 1 min. Processed powders were evaluated for size, morphology, crystallinity, and thermal stability using multiple analytical techniques.</w:t>
      </w:r>
    </w:p>
    <w:p w14:paraId="5F04507F" w14:textId="77777777" w:rsidR="00353BE6" w:rsidRPr="00353BE6" w:rsidRDefault="00353BE6" w:rsidP="00C315D2">
      <w:pPr>
        <w:spacing w:after="0" w:line="240" w:lineRule="auto"/>
        <w:jc w:val="both"/>
        <w:rPr>
          <w:rFonts w:ascii="Calibri" w:eastAsia="맑은 고딕" w:hAnsi="Calibri" w:cs="Times New Roman"/>
          <w:b/>
          <w:bCs/>
          <w:kern w:val="0"/>
          <w:lang w:val="en-GB" w:eastAsia="ko-KR"/>
          <w14:ligatures w14:val="none"/>
        </w:rPr>
      </w:pPr>
    </w:p>
    <w:p w14:paraId="58EE2702" w14:textId="68E1B6B2"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4D664F" w:rsidRPr="004D664F">
        <w:rPr>
          <w:rFonts w:ascii="Arial" w:eastAsia="Calibri" w:hAnsi="Arial" w:cs="Calibri"/>
          <w:kern w:val="0"/>
          <w:sz w:val="20"/>
          <w:szCs w:val="20"/>
          <w:lang w:val="en-US"/>
          <w14:ligatures w14:val="none"/>
        </w:rPr>
        <w:t>Among the tested lubricants, 5% magnesium stearate (</w:t>
      </w:r>
      <w:proofErr w:type="spellStart"/>
      <w:r w:rsidR="004D664F" w:rsidRPr="004D664F">
        <w:rPr>
          <w:rFonts w:ascii="Arial" w:eastAsia="Calibri" w:hAnsi="Arial" w:cs="Calibri"/>
          <w:kern w:val="0"/>
          <w:sz w:val="20"/>
          <w:szCs w:val="20"/>
          <w:lang w:val="en-US"/>
          <w14:ligatures w14:val="none"/>
        </w:rPr>
        <w:t>MgSt</w:t>
      </w:r>
      <w:proofErr w:type="spellEnd"/>
      <w:r w:rsidR="004D664F" w:rsidRPr="004D664F">
        <w:rPr>
          <w:rFonts w:ascii="Arial" w:eastAsia="Calibri" w:hAnsi="Arial" w:cs="Calibri"/>
          <w:kern w:val="0"/>
          <w:sz w:val="20"/>
          <w:szCs w:val="20"/>
          <w:lang w:val="en-US"/>
          <w14:ligatures w14:val="none"/>
        </w:rPr>
        <w:t>) significantly improved powder flowability and reduced aggregation in the lactose–sumatriptan (4:1) mixture, as confirmed by SEM and PSD analysis. In contrast, L-leucine at higher concentrations led to particle agglomeration. DSC and PXRD analyses showed no polymorphic transformation after jet milling, indicating stable crystallinity. FT-IR and FE-SEM-EDS confirmed the absence of chemical interactions and the homogeneous distribution of components. The use of nitrogen gas and optimized milling pressures contributed to narrow particle size distribution suitable for nasal delivery.</w:t>
      </w:r>
    </w:p>
    <w:p w14:paraId="777A9E0F" w14:textId="6786507B" w:rsidR="2021B9E9" w:rsidRPr="00E65B03" w:rsidRDefault="2021B9E9" w:rsidP="2021B9E9">
      <w:pPr>
        <w:spacing w:after="0" w:line="240" w:lineRule="auto"/>
        <w:jc w:val="both"/>
        <w:rPr>
          <w:rFonts w:ascii="Arial" w:eastAsia="맑은 고딕" w:hAnsi="Arial" w:cs="Calibri"/>
          <w:sz w:val="20"/>
          <w:szCs w:val="20"/>
          <w:lang w:val="en-US" w:eastAsia="ko-KR"/>
        </w:rPr>
      </w:pPr>
    </w:p>
    <w:tbl>
      <w:tblPr>
        <w:tblStyle w:val="aa"/>
        <w:tblpPr w:leftFromText="142" w:rightFromText="142" w:vertAnchor="text" w:horzAnchor="margin" w:tblpXSpec="right"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268"/>
      </w:tblGrid>
      <w:tr w:rsidR="00140B60" w:rsidRPr="00140B60" w14:paraId="3B0E1C5A" w14:textId="77777777" w:rsidTr="00A35C4C">
        <w:trPr>
          <w:trHeight w:val="352"/>
        </w:trPr>
        <w:tc>
          <w:tcPr>
            <w:tcW w:w="1838" w:type="dxa"/>
            <w:tcBorders>
              <w:top w:val="single" w:sz="8" w:space="0" w:color="auto"/>
              <w:bottom w:val="single" w:sz="8" w:space="0" w:color="auto"/>
            </w:tcBorders>
            <w:vAlign w:val="center"/>
          </w:tcPr>
          <w:p w14:paraId="03A3A3FB" w14:textId="77777777" w:rsidR="00140B60" w:rsidRPr="00140B60" w:rsidRDefault="00140B60" w:rsidP="00140B60">
            <w:pPr>
              <w:jc w:val="center"/>
              <w:rPr>
                <w:rFonts w:ascii="Arial" w:eastAsia="맑은 고딕" w:hAnsi="Arial" w:cs="Arial"/>
                <w:b/>
                <w:kern w:val="0"/>
                <w:sz w:val="18"/>
                <w:szCs w:val="18"/>
                <w:lang w:eastAsia="ko-KR"/>
                <w14:ligatures w14:val="none"/>
              </w:rPr>
            </w:pPr>
            <w:r w:rsidRPr="00140B60">
              <w:rPr>
                <w:rFonts w:ascii="Arial" w:eastAsia="맑은 고딕" w:hAnsi="Arial" w:cs="Arial"/>
                <w:b/>
                <w:kern w:val="0"/>
                <w:sz w:val="18"/>
                <w:szCs w:val="18"/>
                <w:lang w:eastAsia="ko-KR"/>
                <w14:ligatures w14:val="none"/>
              </w:rPr>
              <w:t>Parameter</w:t>
            </w:r>
          </w:p>
        </w:tc>
        <w:tc>
          <w:tcPr>
            <w:tcW w:w="2268" w:type="dxa"/>
            <w:tcBorders>
              <w:top w:val="single" w:sz="8" w:space="0" w:color="auto"/>
              <w:bottom w:val="single" w:sz="8" w:space="0" w:color="auto"/>
            </w:tcBorders>
            <w:vAlign w:val="center"/>
          </w:tcPr>
          <w:p w14:paraId="37D6808B" w14:textId="77777777" w:rsidR="00140B60" w:rsidRPr="00140B60" w:rsidRDefault="00140B60" w:rsidP="00140B60">
            <w:pPr>
              <w:jc w:val="center"/>
              <w:rPr>
                <w:rFonts w:ascii="Arial" w:eastAsia="맑은 고딕" w:hAnsi="Arial" w:cs="Arial"/>
                <w:b/>
                <w:kern w:val="0"/>
                <w:sz w:val="18"/>
                <w:szCs w:val="18"/>
                <w:lang w:eastAsia="ko-KR"/>
                <w14:ligatures w14:val="none"/>
              </w:rPr>
            </w:pPr>
            <w:r w:rsidRPr="00140B60">
              <w:rPr>
                <w:rFonts w:ascii="Arial" w:eastAsia="맑은 고딕" w:hAnsi="Arial" w:cs="Arial"/>
                <w:b/>
                <w:kern w:val="0"/>
                <w:sz w:val="18"/>
                <w:szCs w:val="18"/>
                <w:lang w:eastAsia="ko-KR"/>
                <w14:ligatures w14:val="none"/>
              </w:rPr>
              <w:t>Value</w:t>
            </w:r>
          </w:p>
        </w:tc>
      </w:tr>
      <w:tr w:rsidR="00140B60" w:rsidRPr="00140B60" w14:paraId="32FE229E" w14:textId="77777777" w:rsidTr="00A35C4C">
        <w:trPr>
          <w:trHeight w:val="352"/>
        </w:trPr>
        <w:tc>
          <w:tcPr>
            <w:tcW w:w="1838" w:type="dxa"/>
            <w:tcBorders>
              <w:top w:val="single" w:sz="8" w:space="0" w:color="auto"/>
            </w:tcBorders>
            <w:vAlign w:val="center"/>
          </w:tcPr>
          <w:p w14:paraId="276289F4"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Mixture ratio</w:t>
            </w:r>
          </w:p>
        </w:tc>
        <w:tc>
          <w:tcPr>
            <w:tcW w:w="2268" w:type="dxa"/>
            <w:tcBorders>
              <w:top w:val="single" w:sz="8" w:space="0" w:color="auto"/>
            </w:tcBorders>
            <w:vAlign w:val="center"/>
          </w:tcPr>
          <w:p w14:paraId="0A5326A4"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4:1 (LA:SS)</w:t>
            </w:r>
          </w:p>
        </w:tc>
      </w:tr>
      <w:tr w:rsidR="00140B60" w:rsidRPr="00140B60" w14:paraId="2D154993" w14:textId="77777777" w:rsidTr="00A35C4C">
        <w:trPr>
          <w:trHeight w:val="352"/>
        </w:trPr>
        <w:tc>
          <w:tcPr>
            <w:tcW w:w="1838" w:type="dxa"/>
            <w:vAlign w:val="center"/>
          </w:tcPr>
          <w:p w14:paraId="5A82D459"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Lubricant type</w:t>
            </w:r>
          </w:p>
        </w:tc>
        <w:tc>
          <w:tcPr>
            <w:tcW w:w="2268" w:type="dxa"/>
            <w:vAlign w:val="center"/>
          </w:tcPr>
          <w:p w14:paraId="68194913" w14:textId="77777777" w:rsidR="00140B60" w:rsidRPr="00140B60" w:rsidRDefault="00140B60" w:rsidP="00140B60">
            <w:pPr>
              <w:jc w:val="center"/>
              <w:rPr>
                <w:rFonts w:ascii="Arial" w:eastAsia="Calibri" w:hAnsi="Arial" w:cs="Arial"/>
                <w:bCs/>
                <w:kern w:val="0"/>
                <w:sz w:val="18"/>
                <w:szCs w:val="18"/>
                <w14:ligatures w14:val="none"/>
              </w:rPr>
            </w:pPr>
            <w:proofErr w:type="spellStart"/>
            <w:r w:rsidRPr="00140B60">
              <w:rPr>
                <w:rFonts w:ascii="Arial" w:eastAsia="Calibri" w:hAnsi="Arial" w:cs="Arial"/>
                <w:bCs/>
                <w:kern w:val="0"/>
                <w:sz w:val="18"/>
                <w:szCs w:val="18"/>
                <w14:ligatures w14:val="none"/>
              </w:rPr>
              <w:t>MgSt</w:t>
            </w:r>
            <w:proofErr w:type="spellEnd"/>
            <w:r w:rsidRPr="00140B60">
              <w:rPr>
                <w:rFonts w:ascii="Arial" w:eastAsia="Calibri" w:hAnsi="Arial" w:cs="Arial"/>
                <w:bCs/>
                <w:kern w:val="0"/>
                <w:sz w:val="18"/>
                <w:szCs w:val="18"/>
                <w14:ligatures w14:val="none"/>
              </w:rPr>
              <w:t xml:space="preserve"> or L-leucine</w:t>
            </w:r>
          </w:p>
        </w:tc>
      </w:tr>
      <w:tr w:rsidR="00140B60" w:rsidRPr="00140B60" w14:paraId="35B05292" w14:textId="77777777" w:rsidTr="00A35C4C">
        <w:trPr>
          <w:trHeight w:val="352"/>
        </w:trPr>
        <w:tc>
          <w:tcPr>
            <w:tcW w:w="1838" w:type="dxa"/>
            <w:vAlign w:val="center"/>
          </w:tcPr>
          <w:p w14:paraId="24B466EB"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Lubricant content</w:t>
            </w:r>
          </w:p>
        </w:tc>
        <w:tc>
          <w:tcPr>
            <w:tcW w:w="2268" w:type="dxa"/>
            <w:vAlign w:val="center"/>
          </w:tcPr>
          <w:p w14:paraId="37DD0908"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1%, 5%, 10%</w:t>
            </w:r>
          </w:p>
        </w:tc>
      </w:tr>
      <w:tr w:rsidR="00140B60" w:rsidRPr="00140B60" w14:paraId="1B307E90" w14:textId="77777777" w:rsidTr="00A35C4C">
        <w:trPr>
          <w:trHeight w:val="352"/>
        </w:trPr>
        <w:tc>
          <w:tcPr>
            <w:tcW w:w="1838" w:type="dxa"/>
            <w:vAlign w:val="center"/>
          </w:tcPr>
          <w:p w14:paraId="485C7CA3"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Feed pressure</w:t>
            </w:r>
          </w:p>
        </w:tc>
        <w:tc>
          <w:tcPr>
            <w:tcW w:w="2268" w:type="dxa"/>
            <w:vAlign w:val="center"/>
          </w:tcPr>
          <w:p w14:paraId="1F264BA3"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600 kPa</w:t>
            </w:r>
          </w:p>
        </w:tc>
      </w:tr>
      <w:tr w:rsidR="00140B60" w:rsidRPr="00140B60" w14:paraId="22957599" w14:textId="77777777" w:rsidTr="00A35C4C">
        <w:trPr>
          <w:trHeight w:val="352"/>
        </w:trPr>
        <w:tc>
          <w:tcPr>
            <w:tcW w:w="1838" w:type="dxa"/>
            <w:vAlign w:val="center"/>
          </w:tcPr>
          <w:p w14:paraId="2E7425B1"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Grind pressure</w:t>
            </w:r>
          </w:p>
        </w:tc>
        <w:tc>
          <w:tcPr>
            <w:tcW w:w="2268" w:type="dxa"/>
            <w:vAlign w:val="center"/>
          </w:tcPr>
          <w:p w14:paraId="38D6C6CD" w14:textId="77777777" w:rsidR="00140B60" w:rsidRPr="00140B60" w:rsidRDefault="00140B60" w:rsidP="00140B60">
            <w:pPr>
              <w:jc w:val="center"/>
              <w:rPr>
                <w:rFonts w:ascii="Arial" w:eastAsia="맑은 고딕" w:hAnsi="Arial" w:cs="Arial"/>
                <w:bCs/>
                <w:kern w:val="0"/>
                <w:sz w:val="18"/>
                <w:szCs w:val="18"/>
                <w:lang w:eastAsia="ko-KR"/>
                <w14:ligatures w14:val="none"/>
              </w:rPr>
            </w:pPr>
            <w:r w:rsidRPr="00140B60">
              <w:rPr>
                <w:rFonts w:ascii="Arial" w:eastAsia="맑은 고딕" w:hAnsi="Arial" w:cs="Arial"/>
                <w:bCs/>
                <w:kern w:val="0"/>
                <w:sz w:val="18"/>
                <w:szCs w:val="18"/>
                <w:lang w:eastAsia="ko-KR"/>
                <w14:ligatures w14:val="none"/>
              </w:rPr>
              <w:t>500 kPa</w:t>
            </w:r>
          </w:p>
        </w:tc>
      </w:tr>
      <w:tr w:rsidR="00140B60" w:rsidRPr="00140B60" w14:paraId="79A6702A" w14:textId="77777777" w:rsidTr="00A35C4C">
        <w:trPr>
          <w:trHeight w:val="352"/>
        </w:trPr>
        <w:tc>
          <w:tcPr>
            <w:tcW w:w="1838" w:type="dxa"/>
            <w:vAlign w:val="center"/>
          </w:tcPr>
          <w:p w14:paraId="5ACD413A"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Milling time</w:t>
            </w:r>
          </w:p>
        </w:tc>
        <w:tc>
          <w:tcPr>
            <w:tcW w:w="2268" w:type="dxa"/>
            <w:vAlign w:val="center"/>
          </w:tcPr>
          <w:p w14:paraId="0F4C3553"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1 minute</w:t>
            </w:r>
          </w:p>
        </w:tc>
      </w:tr>
      <w:tr w:rsidR="00140B60" w:rsidRPr="00140B60" w14:paraId="2DA639F9" w14:textId="77777777" w:rsidTr="00A35C4C">
        <w:trPr>
          <w:trHeight w:val="352"/>
        </w:trPr>
        <w:tc>
          <w:tcPr>
            <w:tcW w:w="1838" w:type="dxa"/>
            <w:tcBorders>
              <w:bottom w:val="single" w:sz="8" w:space="0" w:color="auto"/>
            </w:tcBorders>
            <w:vAlign w:val="center"/>
          </w:tcPr>
          <w:p w14:paraId="0129F240"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Gas used</w:t>
            </w:r>
          </w:p>
        </w:tc>
        <w:tc>
          <w:tcPr>
            <w:tcW w:w="2268" w:type="dxa"/>
            <w:tcBorders>
              <w:bottom w:val="single" w:sz="8" w:space="0" w:color="auto"/>
            </w:tcBorders>
            <w:vAlign w:val="center"/>
          </w:tcPr>
          <w:p w14:paraId="413F1F72" w14:textId="77777777" w:rsidR="00140B60" w:rsidRPr="00140B60" w:rsidRDefault="00140B60" w:rsidP="00140B60">
            <w:pPr>
              <w:jc w:val="center"/>
              <w:rPr>
                <w:rFonts w:ascii="Arial" w:eastAsia="Calibri" w:hAnsi="Arial" w:cs="Arial"/>
                <w:bCs/>
                <w:kern w:val="0"/>
                <w:sz w:val="18"/>
                <w:szCs w:val="18"/>
                <w14:ligatures w14:val="none"/>
              </w:rPr>
            </w:pPr>
            <w:r w:rsidRPr="00140B60">
              <w:rPr>
                <w:rFonts w:ascii="Arial" w:eastAsia="Calibri" w:hAnsi="Arial" w:cs="Arial"/>
                <w:bCs/>
                <w:kern w:val="0"/>
                <w:sz w:val="18"/>
                <w:szCs w:val="18"/>
                <w14:ligatures w14:val="none"/>
              </w:rPr>
              <w:t>Nitrogen (N</w:t>
            </w:r>
            <w:r w:rsidRPr="00140B60">
              <w:rPr>
                <w:rFonts w:ascii="Arial" w:eastAsia="맑은 고딕" w:hAnsi="Arial" w:cs="Arial"/>
                <w:bCs/>
                <w:kern w:val="0"/>
                <w:sz w:val="18"/>
                <w:szCs w:val="18"/>
                <w:vertAlign w:val="subscript"/>
                <w:lang w:eastAsia="ko-KR"/>
                <w14:ligatures w14:val="none"/>
              </w:rPr>
              <w:t>2</w:t>
            </w:r>
            <w:r w:rsidRPr="00140B60">
              <w:rPr>
                <w:rFonts w:ascii="Arial" w:eastAsia="Calibri" w:hAnsi="Arial" w:cs="Arial"/>
                <w:bCs/>
                <w:kern w:val="0"/>
                <w:sz w:val="18"/>
                <w:szCs w:val="18"/>
                <w14:ligatures w14:val="none"/>
              </w:rPr>
              <w:t>)</w:t>
            </w:r>
          </w:p>
        </w:tc>
      </w:tr>
    </w:tbl>
    <w:p w14:paraId="00E3F106" w14:textId="0D0AAC2C" w:rsidR="00D303C1" w:rsidRDefault="00D303C1" w:rsidP="2021B9E9">
      <w:pPr>
        <w:spacing w:after="0" w:line="240" w:lineRule="auto"/>
        <w:jc w:val="both"/>
        <w:rPr>
          <w:rFonts w:ascii="Arial" w:eastAsia="Calibri" w:hAnsi="Arial" w:cs="Calibri"/>
          <w:sz w:val="20"/>
          <w:szCs w:val="20"/>
          <w:lang w:val="en-US"/>
        </w:rPr>
      </w:pPr>
    </w:p>
    <w:p w14:paraId="3257C809" w14:textId="26CA5D05" w:rsidR="00140B60" w:rsidRDefault="00140B60" w:rsidP="00140B60">
      <w:pPr>
        <w:spacing w:after="0" w:line="240" w:lineRule="auto"/>
        <w:rPr>
          <w:rFonts w:ascii="Arial" w:eastAsia="Calibri" w:hAnsi="Arial" w:cs="Calibri"/>
          <w:b/>
          <w:kern w:val="0"/>
          <w:sz w:val="20"/>
          <w:szCs w:val="20"/>
          <w14:ligatures w14:val="none"/>
        </w:rPr>
      </w:pPr>
      <w:r w:rsidRPr="004D664F">
        <w:rPr>
          <w:rFonts w:ascii="Arial" w:eastAsia="맑은 고딕" w:hAnsi="Arial" w:cs="Calibri"/>
          <w:b/>
          <w:noProof/>
          <w:kern w:val="0"/>
          <w:sz w:val="20"/>
          <w:szCs w:val="20"/>
          <w:lang w:eastAsia="ko-KR"/>
          <w14:ligatures w14:val="none"/>
        </w:rPr>
        <w:drawing>
          <wp:anchor distT="0" distB="0" distL="114300" distR="114300" simplePos="0" relativeHeight="251658240" behindDoc="0" locked="0" layoutInCell="1" allowOverlap="1" wp14:anchorId="2E649F67" wp14:editId="77580C9F">
            <wp:simplePos x="0" y="0"/>
            <wp:positionH relativeFrom="margin">
              <wp:posOffset>-635</wp:posOffset>
            </wp:positionH>
            <wp:positionV relativeFrom="paragraph">
              <wp:posOffset>246991</wp:posOffset>
            </wp:positionV>
            <wp:extent cx="3065145" cy="1163955"/>
            <wp:effectExtent l="0" t="0" r="1905" b="0"/>
            <wp:wrapTopAndBottom/>
            <wp:docPr id="50" name="그림 49" descr="텍스트, 만화 영화, 청량 음료, 병이(가) 표시된 사진&#10;&#10;AI가 생성한 콘텐츠는 부정확할 수 있습니다.">
              <a:extLst xmlns:a="http://schemas.openxmlformats.org/drawingml/2006/main">
                <a:ext uri="{FF2B5EF4-FFF2-40B4-BE49-F238E27FC236}">
                  <a16:creationId xmlns:a16="http://schemas.microsoft.com/office/drawing/2014/main" id="{6EFD481E-84D8-E249-B4C5-C8DC798DDB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그림 49" descr="텍스트, 만화 영화, 청량 음료, 병이(가) 표시된 사진&#10;&#10;AI가 생성한 콘텐츠는 부정확할 수 있습니다.">
                      <a:extLst>
                        <a:ext uri="{FF2B5EF4-FFF2-40B4-BE49-F238E27FC236}">
                          <a16:creationId xmlns:a16="http://schemas.microsoft.com/office/drawing/2014/main" id="{6EFD481E-84D8-E249-B4C5-C8DC798DDB9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5145" cy="1163955"/>
                    </a:xfrm>
                    <a:prstGeom prst="rect">
                      <a:avLst/>
                    </a:prstGeom>
                  </pic:spPr>
                </pic:pic>
              </a:graphicData>
            </a:graphic>
            <wp14:sizeRelH relativeFrom="margin">
              <wp14:pctWidth>0</wp14:pctWidth>
            </wp14:sizeRelH>
            <wp14:sizeRelV relativeFrom="margin">
              <wp14:pctHeight>0</wp14:pctHeight>
            </wp14:sizeRelV>
          </wp:anchor>
        </w:drawing>
      </w:r>
    </w:p>
    <w:p w14:paraId="37012700" w14:textId="1F704D72" w:rsidR="00C315D2" w:rsidRDefault="00C315D2" w:rsidP="00140B60">
      <w:pPr>
        <w:spacing w:after="0" w:line="240" w:lineRule="auto"/>
        <w:rPr>
          <w:rFonts w:ascii="Arial" w:eastAsia="Calibri" w:hAnsi="Arial" w:cs="Calibri"/>
          <w:b/>
          <w:kern w:val="0"/>
          <w:sz w:val="20"/>
          <w:szCs w:val="20"/>
          <w14:ligatures w14:val="none"/>
        </w:rPr>
      </w:pPr>
    </w:p>
    <w:p w14:paraId="0D2F328E" w14:textId="77777777" w:rsidR="00D303C1" w:rsidRPr="004D664F" w:rsidRDefault="00D303C1" w:rsidP="00C315D2">
      <w:pPr>
        <w:spacing w:after="0" w:line="240" w:lineRule="auto"/>
        <w:jc w:val="both"/>
        <w:rPr>
          <w:rFonts w:ascii="Arial" w:eastAsia="맑은 고딕" w:hAnsi="Arial" w:cs="Calibri"/>
          <w:b/>
          <w:kern w:val="0"/>
          <w:sz w:val="20"/>
          <w:szCs w:val="20"/>
          <w:lang w:eastAsia="ko-KR"/>
          <w14:ligatures w14:val="none"/>
        </w:rPr>
      </w:pPr>
    </w:p>
    <w:p w14:paraId="05CBAC02" w14:textId="77777777" w:rsidR="00943F96" w:rsidRDefault="00943F96" w:rsidP="004D664F">
      <w:pPr>
        <w:spacing w:after="0" w:line="240" w:lineRule="auto"/>
        <w:jc w:val="both"/>
        <w:rPr>
          <w:rFonts w:ascii="Arial" w:eastAsia="맑은 고딕" w:hAnsi="Arial" w:cs="Calibri"/>
          <w:b/>
          <w:bCs/>
          <w:kern w:val="0"/>
          <w:sz w:val="20"/>
          <w:szCs w:val="20"/>
          <w:lang w:val="en-GB" w:eastAsia="ko-KR"/>
          <w14:ligatures w14:val="none"/>
        </w:rPr>
      </w:pPr>
    </w:p>
    <w:p w14:paraId="5C9EDD42" w14:textId="42E928B6" w:rsidR="006B3093" w:rsidRPr="00936D4C" w:rsidRDefault="00C315D2" w:rsidP="004D664F">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266A5A" w:rsidRPr="00266A5A">
        <w:rPr>
          <w:rFonts w:ascii="Arial" w:eastAsia="Calibri" w:hAnsi="Arial" w:cs="Calibri"/>
          <w:kern w:val="0"/>
          <w:sz w:val="20"/>
          <w:szCs w:val="20"/>
          <w:lang w:val="en-GB"/>
          <w14:ligatures w14:val="none"/>
        </w:rPr>
        <w:t>Schematic diagram of the jet milling process using nitrogen gas for DPI preparation.</w:t>
      </w:r>
      <w:r w:rsidR="004D664F">
        <w:rPr>
          <w:rFonts w:ascii="Arial" w:eastAsia="맑은 고딕" w:hAnsi="Arial" w:cs="Calibri" w:hint="eastAsia"/>
          <w:kern w:val="0"/>
          <w:sz w:val="20"/>
          <w:szCs w:val="20"/>
          <w:lang w:val="en-GB" w:eastAsia="ko-KR"/>
          <w14:ligatures w14:val="none"/>
        </w:rPr>
        <w:t xml:space="preserve"> </w:t>
      </w:r>
      <w:r w:rsidR="004D664F">
        <w:rPr>
          <w:rFonts w:ascii="Arial" w:eastAsia="맑은 고딕" w:hAnsi="Arial" w:cs="Calibri" w:hint="eastAsia"/>
          <w:b/>
          <w:bCs/>
          <w:kern w:val="0"/>
          <w:sz w:val="20"/>
          <w:szCs w:val="20"/>
          <w:lang w:val="en-GB" w:eastAsia="ko-KR"/>
          <w14:ligatures w14:val="none"/>
        </w:rPr>
        <w:t>Table</w:t>
      </w:r>
      <w:r w:rsidR="006B3093" w:rsidRPr="2021B9E9">
        <w:rPr>
          <w:rFonts w:ascii="Arial" w:eastAsia="Calibri" w:hAnsi="Arial" w:cs="Calibri"/>
          <w:b/>
          <w:bCs/>
          <w:kern w:val="0"/>
          <w:sz w:val="20"/>
          <w:szCs w:val="20"/>
          <w:lang w:val="en-GB"/>
          <w14:ligatures w14:val="none"/>
        </w:rPr>
        <w:t xml:space="preserve"> </w:t>
      </w:r>
      <w:r w:rsidR="004D664F">
        <w:rPr>
          <w:rFonts w:ascii="Arial" w:eastAsia="맑은 고딕" w:hAnsi="Arial" w:cs="Calibri" w:hint="eastAsia"/>
          <w:b/>
          <w:bCs/>
          <w:kern w:val="0"/>
          <w:sz w:val="20"/>
          <w:szCs w:val="20"/>
          <w:lang w:val="en-GB" w:eastAsia="ko-KR"/>
          <w14:ligatures w14:val="none"/>
        </w:rPr>
        <w:t>1</w:t>
      </w:r>
      <w:r w:rsidR="006B3093" w:rsidRPr="2021B9E9">
        <w:rPr>
          <w:rFonts w:ascii="Arial" w:eastAsia="Calibri" w:hAnsi="Arial" w:cs="Calibri"/>
          <w:b/>
          <w:bCs/>
          <w:kern w:val="0"/>
          <w:sz w:val="20"/>
          <w:szCs w:val="20"/>
          <w:lang w:val="en-GB"/>
          <w14:ligatures w14:val="none"/>
        </w:rPr>
        <w:t xml:space="preserve">. </w:t>
      </w:r>
      <w:r w:rsidR="00140B60" w:rsidRPr="00140B60">
        <w:rPr>
          <w:rFonts w:ascii="Arial" w:eastAsia="Calibri" w:hAnsi="Arial" w:cs="Calibri"/>
          <w:kern w:val="0"/>
          <w:sz w:val="20"/>
          <w:szCs w:val="20"/>
          <w14:ligatures w14:val="none"/>
        </w:rPr>
        <w:t>Optimized conditions for jet milling process.</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44C0EE3C" w:rsidR="00C315D2" w:rsidRDefault="00B8473A"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E65B03" w:rsidRPr="00E65B03">
        <w:rPr>
          <w:rFonts w:ascii="Arial" w:eastAsia="Calibri" w:hAnsi="Arial" w:cs="Calibri"/>
          <w:bCs/>
          <w:kern w:val="0"/>
          <w:sz w:val="20"/>
          <w:szCs w:val="20"/>
          <w14:ligatures w14:val="none"/>
        </w:rPr>
        <w:t xml:space="preserve">Jet milling with </w:t>
      </w:r>
      <w:proofErr w:type="spellStart"/>
      <w:r w:rsidR="00E65B03" w:rsidRPr="00E65B03">
        <w:rPr>
          <w:rFonts w:ascii="Arial" w:eastAsia="Calibri" w:hAnsi="Arial" w:cs="Calibri"/>
          <w:bCs/>
          <w:kern w:val="0"/>
          <w:sz w:val="20"/>
          <w:szCs w:val="20"/>
          <w14:ligatures w14:val="none"/>
        </w:rPr>
        <w:t>MgSt</w:t>
      </w:r>
      <w:proofErr w:type="spellEnd"/>
      <w:r w:rsidR="00E65B03" w:rsidRPr="00E65B03">
        <w:rPr>
          <w:rFonts w:ascii="Arial" w:eastAsia="Calibri" w:hAnsi="Arial" w:cs="Calibri"/>
          <w:bCs/>
          <w:kern w:val="0"/>
          <w:sz w:val="20"/>
          <w:szCs w:val="20"/>
          <w14:ligatures w14:val="none"/>
        </w:rPr>
        <w:t xml:space="preserve"> (5%) significantly improved flowability and permeability of SS DPI formulations. PAMPA and cell assays showed enhanced mucosal absorption, with differences indicating distinct passive/active mechanisms. Optimized formulations offer strong potential for effective N2B delivery of migraine therapeutics.</w:t>
      </w:r>
    </w:p>
    <w:p w14:paraId="0602873E" w14:textId="77777777" w:rsidR="001F78DD" w:rsidRPr="00C315D2" w:rsidRDefault="001F78DD" w:rsidP="00C315D2">
      <w:pPr>
        <w:spacing w:after="0" w:line="240" w:lineRule="auto"/>
        <w:jc w:val="both"/>
        <w:rPr>
          <w:rFonts w:ascii="Arial" w:eastAsia="Calibri" w:hAnsi="Arial" w:cs="Calibri"/>
          <w:b/>
          <w:kern w:val="0"/>
          <w:sz w:val="20"/>
          <w:szCs w:val="20"/>
          <w14:ligatures w14:val="none"/>
        </w:rPr>
      </w:pPr>
    </w:p>
    <w:p w14:paraId="3E0B1522" w14:textId="64583536" w:rsidR="00943F96" w:rsidRPr="00E6521A" w:rsidRDefault="00943F96" w:rsidP="00C315D2">
      <w:pPr>
        <w:spacing w:after="0" w:line="240" w:lineRule="auto"/>
        <w:jc w:val="both"/>
        <w:rPr>
          <w:rFonts w:ascii="Arial" w:eastAsia="맑은 고딕" w:hAnsi="Arial" w:cs="Calibri"/>
          <w:b/>
          <w:kern w:val="0"/>
          <w:sz w:val="20"/>
          <w:szCs w:val="20"/>
          <w:lang w:eastAsia="ko-KR"/>
          <w14:ligatures w14:val="none"/>
        </w:rPr>
      </w:pPr>
      <w:r w:rsidRPr="00943F96">
        <w:rPr>
          <w:rFonts w:ascii="Arial" w:eastAsia="Calibri" w:hAnsi="Arial" w:cs="Calibri"/>
          <w:b/>
          <w:kern w:val="0"/>
          <w:sz w:val="20"/>
          <w:szCs w:val="20"/>
          <w:lang w:val="en-US"/>
          <w14:ligatures w14:val="none"/>
        </w:rPr>
        <w:t>Acknowledgements</w:t>
      </w:r>
      <w:r w:rsidR="00E6521A">
        <w:rPr>
          <w:rFonts w:ascii="Arial" w:eastAsia="맑은 고딕" w:hAnsi="Arial" w:cs="Calibri" w:hint="eastAsia"/>
          <w:b/>
          <w:kern w:val="0"/>
          <w:sz w:val="20"/>
          <w:szCs w:val="20"/>
          <w:lang w:val="en-US" w:eastAsia="ko-KR"/>
          <w14:ligatures w14:val="none"/>
        </w:rPr>
        <w:t>.</w:t>
      </w:r>
      <w:r w:rsidR="00E6521A">
        <w:rPr>
          <w:rFonts w:ascii="Arial" w:eastAsia="맑은 고딕" w:hAnsi="Arial" w:cs="Calibri" w:hint="eastAsia"/>
          <w:b/>
          <w:kern w:val="0"/>
          <w:sz w:val="20"/>
          <w:szCs w:val="20"/>
          <w:lang w:eastAsia="ko-KR"/>
          <w14:ligatures w14:val="none"/>
        </w:rPr>
        <w:t xml:space="preserve"> </w:t>
      </w:r>
      <w:r w:rsidRPr="00943F96">
        <w:rPr>
          <w:rFonts w:ascii="Arial" w:eastAsia="맑은 고딕" w:hAnsi="Arial" w:cs="Calibri"/>
          <w:bCs/>
          <w:kern w:val="0"/>
          <w:sz w:val="20"/>
          <w:szCs w:val="20"/>
          <w:lang w:eastAsia="ko-KR"/>
          <w14:ligatures w14:val="none"/>
        </w:rPr>
        <w:t xml:space="preserve">This work was supported by the National Research Foundation of Korea (NRF) grant funded by the Korea government (MSIT) (No.2022R1C1C1010130). This work was supported by the Korea Basic Science Institute (National Research Facilities and Equipment </w:t>
      </w:r>
      <w:proofErr w:type="spellStart"/>
      <w:r w:rsidRPr="00943F96">
        <w:rPr>
          <w:rFonts w:ascii="Arial" w:eastAsia="맑은 고딕" w:hAnsi="Arial" w:cs="Calibri"/>
          <w:bCs/>
          <w:kern w:val="0"/>
          <w:sz w:val="20"/>
          <w:szCs w:val="20"/>
          <w:lang w:eastAsia="ko-KR"/>
          <w14:ligatures w14:val="none"/>
        </w:rPr>
        <w:t>Center</w:t>
      </w:r>
      <w:proofErr w:type="spellEnd"/>
      <w:r w:rsidRPr="00943F96">
        <w:rPr>
          <w:rFonts w:ascii="Arial" w:eastAsia="맑은 고딕" w:hAnsi="Arial" w:cs="Calibri"/>
          <w:bCs/>
          <w:kern w:val="0"/>
          <w:sz w:val="20"/>
          <w:szCs w:val="20"/>
          <w:lang w:eastAsia="ko-KR"/>
          <w14:ligatures w14:val="none"/>
        </w:rPr>
        <w:t>) grant funded by the Korea government (MSIT) (No.RS-2024-00404864). This research was supported by the Technol-</w:t>
      </w:r>
      <w:proofErr w:type="spellStart"/>
      <w:r w:rsidRPr="00943F96">
        <w:rPr>
          <w:rFonts w:ascii="Arial" w:eastAsia="맑은 고딕" w:hAnsi="Arial" w:cs="Calibri"/>
          <w:bCs/>
          <w:kern w:val="0"/>
          <w:sz w:val="20"/>
          <w:szCs w:val="20"/>
          <w:lang w:eastAsia="ko-KR"/>
          <w14:ligatures w14:val="none"/>
        </w:rPr>
        <w:t>ogy</w:t>
      </w:r>
      <w:proofErr w:type="spellEnd"/>
      <w:r w:rsidRPr="00943F96">
        <w:rPr>
          <w:rFonts w:ascii="Arial" w:eastAsia="맑은 고딕" w:hAnsi="Arial" w:cs="Calibri"/>
          <w:bCs/>
          <w:kern w:val="0"/>
          <w:sz w:val="20"/>
          <w:szCs w:val="20"/>
          <w:lang w:eastAsia="ko-KR"/>
          <w14:ligatures w14:val="none"/>
        </w:rPr>
        <w:t xml:space="preserve"> Innovation Program (RS-2025-11572968), funded by the Ministry of Trade, Industry and En-</w:t>
      </w:r>
      <w:proofErr w:type="spellStart"/>
      <w:r w:rsidRPr="00943F96">
        <w:rPr>
          <w:rFonts w:ascii="Arial" w:eastAsia="맑은 고딕" w:hAnsi="Arial" w:cs="Calibri"/>
          <w:bCs/>
          <w:kern w:val="0"/>
          <w:sz w:val="20"/>
          <w:szCs w:val="20"/>
          <w:lang w:eastAsia="ko-KR"/>
          <w14:ligatures w14:val="none"/>
        </w:rPr>
        <w:t>ergy</w:t>
      </w:r>
      <w:proofErr w:type="spellEnd"/>
      <w:r w:rsidRPr="00943F96">
        <w:rPr>
          <w:rFonts w:ascii="Arial" w:eastAsia="맑은 고딕" w:hAnsi="Arial" w:cs="Calibri"/>
          <w:bCs/>
          <w:kern w:val="0"/>
          <w:sz w:val="20"/>
          <w:szCs w:val="20"/>
          <w:lang w:eastAsia="ko-KR"/>
          <w14:ligatures w14:val="none"/>
        </w:rPr>
        <w:t xml:space="preserve"> (MOTIE, Korea).</w:t>
      </w:r>
    </w:p>
    <w:p w14:paraId="2AB3D0BC" w14:textId="77777777" w:rsidR="00943F96" w:rsidRDefault="00943F96" w:rsidP="00C315D2">
      <w:pPr>
        <w:spacing w:after="0" w:line="240" w:lineRule="auto"/>
        <w:jc w:val="both"/>
        <w:rPr>
          <w:rFonts w:ascii="Arial" w:eastAsia="맑은 고딕" w:hAnsi="Arial" w:cs="Calibri"/>
          <w:b/>
          <w:kern w:val="0"/>
          <w:sz w:val="20"/>
          <w:szCs w:val="20"/>
          <w:lang w:eastAsia="ko-KR"/>
          <w14:ligatures w14:val="none"/>
        </w:rPr>
      </w:pPr>
    </w:p>
    <w:p w14:paraId="2C801966" w14:textId="4A36930A"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083F3955" w14:textId="77777777" w:rsidR="00266A5A" w:rsidRDefault="00C315D2" w:rsidP="00266A5A">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(1) </w:t>
      </w:r>
      <w:proofErr w:type="spellStart"/>
      <w:r w:rsidR="00266A5A" w:rsidRPr="00266A5A">
        <w:rPr>
          <w:rFonts w:ascii="Arial" w:eastAsia="Calibri" w:hAnsi="Arial" w:cs="Calibri"/>
          <w:bCs/>
          <w:kern w:val="0"/>
          <w:sz w:val="20"/>
          <w:szCs w:val="20"/>
          <w:lang w:val="en-US"/>
          <w14:ligatures w14:val="none"/>
        </w:rPr>
        <w:t>Puledda</w:t>
      </w:r>
      <w:proofErr w:type="spellEnd"/>
      <w:r w:rsidR="00266A5A" w:rsidRPr="00266A5A">
        <w:rPr>
          <w:rFonts w:ascii="Arial" w:eastAsia="Calibri" w:hAnsi="Arial" w:cs="Calibri"/>
          <w:bCs/>
          <w:kern w:val="0"/>
          <w:sz w:val="20"/>
          <w:szCs w:val="20"/>
          <w:lang w:val="en-US"/>
          <w14:ligatures w14:val="none"/>
        </w:rPr>
        <w:t xml:space="preserve"> F. et al (2023) J Neurol 270:3654–3666.</w:t>
      </w:r>
    </w:p>
    <w:p w14:paraId="67BF4515" w14:textId="77777777" w:rsidR="00266A5A" w:rsidRDefault="00C315D2" w:rsidP="00266A5A">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Cs/>
          <w:kern w:val="0"/>
          <w:sz w:val="20"/>
          <w:szCs w:val="20"/>
          <w:lang w:val="en-US"/>
          <w14:ligatures w14:val="none"/>
        </w:rPr>
        <w:t xml:space="preserve">(2) </w:t>
      </w:r>
      <w:r w:rsidR="00266A5A" w:rsidRPr="00266A5A">
        <w:rPr>
          <w:rFonts w:ascii="Arial" w:eastAsia="Calibri" w:hAnsi="Arial" w:cs="Calibri"/>
          <w:bCs/>
          <w:kern w:val="0"/>
          <w:sz w:val="20"/>
          <w:szCs w:val="20"/>
          <w:lang w:val="en-US"/>
          <w14:ligatures w14:val="none"/>
        </w:rPr>
        <w:t>Tepper SJ. et al (2018) Med Devices (</w:t>
      </w:r>
      <w:proofErr w:type="spellStart"/>
      <w:r w:rsidR="00266A5A" w:rsidRPr="00266A5A">
        <w:rPr>
          <w:rFonts w:ascii="Arial" w:eastAsia="Calibri" w:hAnsi="Arial" w:cs="Calibri"/>
          <w:bCs/>
          <w:kern w:val="0"/>
          <w:sz w:val="20"/>
          <w:szCs w:val="20"/>
          <w:lang w:val="en-US"/>
          <w14:ligatures w14:val="none"/>
        </w:rPr>
        <w:t>Auckl</w:t>
      </w:r>
      <w:proofErr w:type="spellEnd"/>
      <w:r w:rsidR="00266A5A" w:rsidRPr="00266A5A">
        <w:rPr>
          <w:rFonts w:ascii="Arial" w:eastAsia="Calibri" w:hAnsi="Arial" w:cs="Calibri"/>
          <w:bCs/>
          <w:kern w:val="0"/>
          <w:sz w:val="20"/>
          <w:szCs w:val="20"/>
          <w:lang w:val="en-US"/>
          <w14:ligatures w14:val="none"/>
        </w:rPr>
        <w:t>) 11:147–156</w:t>
      </w:r>
      <w:r w:rsidR="00266A5A">
        <w:rPr>
          <w:rFonts w:ascii="Arial" w:eastAsia="맑은 고딕" w:hAnsi="Arial" w:cs="Calibri" w:hint="eastAsia"/>
          <w:bCs/>
          <w:kern w:val="0"/>
          <w:sz w:val="20"/>
          <w:szCs w:val="20"/>
          <w:lang w:val="en-US" w:eastAsia="ko-KR"/>
          <w14:ligatures w14:val="none"/>
        </w:rPr>
        <w:t>.</w:t>
      </w:r>
    </w:p>
    <w:p w14:paraId="78817F42" w14:textId="06994DCA" w:rsidR="00266A5A" w:rsidRDefault="00177EE1" w:rsidP="00266A5A">
      <w:pPr>
        <w:spacing w:after="0" w:line="240" w:lineRule="auto"/>
        <w:jc w:val="both"/>
        <w:rPr>
          <w:rFonts w:ascii="Arial" w:eastAsia="맑은 고딕" w:hAnsi="Arial" w:cs="Calibri"/>
          <w:bCs/>
          <w:kern w:val="0"/>
          <w:sz w:val="20"/>
          <w:szCs w:val="20"/>
          <w:lang w:val="en-US" w:eastAsia="ko-KR"/>
          <w14:ligatures w14:val="none"/>
        </w:rPr>
      </w:pPr>
      <w:r w:rsidRPr="00177EE1">
        <w:rPr>
          <w:rFonts w:ascii="Arial" w:eastAsia="Calibri" w:hAnsi="Arial" w:cs="Calibri"/>
          <w:bCs/>
          <w:kern w:val="0"/>
          <w:sz w:val="20"/>
          <w:szCs w:val="20"/>
          <w:lang w:val="en-US"/>
          <w14:ligatures w14:val="none"/>
        </w:rPr>
        <w:t>(</w:t>
      </w:r>
      <w:r>
        <w:rPr>
          <w:rFonts w:ascii="Arial" w:eastAsia="Calibri" w:hAnsi="Arial" w:cs="Calibri"/>
          <w:bCs/>
          <w:kern w:val="0"/>
          <w:sz w:val="20"/>
          <w:szCs w:val="20"/>
          <w:lang w:val="en-US"/>
          <w14:ligatures w14:val="none"/>
        </w:rPr>
        <w:t>3</w:t>
      </w:r>
      <w:r w:rsidRPr="00177EE1">
        <w:rPr>
          <w:rFonts w:ascii="Arial" w:eastAsia="Calibri" w:hAnsi="Arial" w:cs="Calibri"/>
          <w:bCs/>
          <w:kern w:val="0"/>
          <w:sz w:val="20"/>
          <w:szCs w:val="20"/>
          <w:lang w:val="en-US"/>
          <w14:ligatures w14:val="none"/>
        </w:rPr>
        <w:t xml:space="preserve">) </w:t>
      </w:r>
      <w:r w:rsidR="00266A5A" w:rsidRPr="00266A5A">
        <w:rPr>
          <w:rFonts w:ascii="Arial" w:eastAsia="맑은 고딕" w:hAnsi="Arial" w:cs="Calibri"/>
          <w:bCs/>
          <w:kern w:val="0"/>
          <w:sz w:val="20"/>
          <w:szCs w:val="20"/>
          <w:lang w:val="en-US" w:eastAsia="ko-KR"/>
          <w14:ligatures w14:val="none"/>
        </w:rPr>
        <w:t>Sharif S. et al(2023) Pharmaceutics 15(2): Article 292</w:t>
      </w:r>
      <w:r w:rsidR="00266A5A" w:rsidRPr="00177EE1">
        <w:rPr>
          <w:rFonts w:ascii="Arial" w:eastAsia="Calibri" w:hAnsi="Arial" w:cs="Calibri"/>
          <w:bCs/>
          <w:kern w:val="0"/>
          <w:sz w:val="20"/>
          <w:szCs w:val="20"/>
          <w:lang w:val="en-US"/>
          <w14:ligatures w14:val="none"/>
        </w:rPr>
        <w:t>.</w:t>
      </w:r>
      <w:r w:rsidR="00266A5A" w:rsidRPr="00266A5A">
        <w:rPr>
          <w:rFonts w:ascii="Arial" w:eastAsia="맑은 고딕" w:hAnsi="Arial" w:cs="Calibri"/>
          <w:bCs/>
          <w:kern w:val="0"/>
          <w:sz w:val="20"/>
          <w:szCs w:val="20"/>
          <w:lang w:val="en-US" w:eastAsia="ko-KR"/>
          <w14:ligatures w14:val="none"/>
        </w:rPr>
        <w:t xml:space="preserve"> </w:t>
      </w:r>
    </w:p>
    <w:p w14:paraId="32B8AE02" w14:textId="2B9F21C6" w:rsidR="00266A5A" w:rsidRPr="00266A5A" w:rsidRDefault="00266A5A" w:rsidP="00266A5A">
      <w:pPr>
        <w:spacing w:after="0" w:line="240" w:lineRule="auto"/>
        <w:jc w:val="both"/>
        <w:rPr>
          <w:rFonts w:ascii="Arial" w:eastAsia="맑은 고딕" w:hAnsi="Arial" w:cs="Calibri"/>
          <w:bCs/>
          <w:kern w:val="0"/>
          <w:sz w:val="20"/>
          <w:szCs w:val="20"/>
          <w:lang w:val="en-US" w:eastAsia="ko-KR"/>
          <w14:ligatures w14:val="none"/>
        </w:rPr>
      </w:pPr>
      <w:r>
        <w:rPr>
          <w:rFonts w:ascii="Arial" w:eastAsia="맑은 고딕" w:hAnsi="Arial" w:cs="Calibri" w:hint="eastAsia"/>
          <w:bCs/>
          <w:kern w:val="0"/>
          <w:sz w:val="20"/>
          <w:szCs w:val="20"/>
          <w:lang w:val="en-US" w:eastAsia="ko-KR"/>
          <w14:ligatures w14:val="none"/>
        </w:rPr>
        <w:t xml:space="preserve">(4) </w:t>
      </w:r>
      <w:r w:rsidRPr="00266A5A">
        <w:rPr>
          <w:rFonts w:ascii="Arial" w:eastAsia="맑은 고딕" w:hAnsi="Arial" w:cs="Calibri"/>
          <w:bCs/>
          <w:kern w:val="0"/>
          <w:sz w:val="20"/>
          <w:szCs w:val="20"/>
          <w:lang w:val="en-US" w:eastAsia="ko-KR"/>
          <w14:ligatures w14:val="none"/>
        </w:rPr>
        <w:t>Chan HK. et al (2019) Int J Pharm 568:118504.</w:t>
      </w:r>
    </w:p>
    <w:sectPr w:rsidR="00266A5A" w:rsidRPr="00266A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7F6E" w14:textId="77777777" w:rsidR="007F121F" w:rsidRDefault="007F121F" w:rsidP="009C7BE1">
      <w:pPr>
        <w:spacing w:after="0" w:line="240" w:lineRule="auto"/>
      </w:pPr>
      <w:r>
        <w:separator/>
      </w:r>
    </w:p>
  </w:endnote>
  <w:endnote w:type="continuationSeparator" w:id="0">
    <w:p w14:paraId="4530A5C4" w14:textId="77777777" w:rsidR="007F121F" w:rsidRDefault="007F121F" w:rsidP="009C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9098" w14:textId="77777777" w:rsidR="007F121F" w:rsidRDefault="007F121F" w:rsidP="009C7BE1">
      <w:pPr>
        <w:spacing w:after="0" w:line="240" w:lineRule="auto"/>
      </w:pPr>
      <w:r>
        <w:separator/>
      </w:r>
    </w:p>
  </w:footnote>
  <w:footnote w:type="continuationSeparator" w:id="0">
    <w:p w14:paraId="53652D4F" w14:textId="77777777" w:rsidR="007F121F" w:rsidRDefault="007F121F" w:rsidP="009C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19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910C9"/>
    <w:rsid w:val="000D729D"/>
    <w:rsid w:val="001040F8"/>
    <w:rsid w:val="00107368"/>
    <w:rsid w:val="00113BB7"/>
    <w:rsid w:val="001229E9"/>
    <w:rsid w:val="00140B60"/>
    <w:rsid w:val="00177EE1"/>
    <w:rsid w:val="001F78DD"/>
    <w:rsid w:val="002017E6"/>
    <w:rsid w:val="002100F5"/>
    <w:rsid w:val="00234EA4"/>
    <w:rsid w:val="00266A5A"/>
    <w:rsid w:val="00294059"/>
    <w:rsid w:val="002C6DE2"/>
    <w:rsid w:val="003206E4"/>
    <w:rsid w:val="00327A0F"/>
    <w:rsid w:val="00352BC3"/>
    <w:rsid w:val="00353BE6"/>
    <w:rsid w:val="003A6D5C"/>
    <w:rsid w:val="004656D3"/>
    <w:rsid w:val="004A51B6"/>
    <w:rsid w:val="004D664F"/>
    <w:rsid w:val="00510CF8"/>
    <w:rsid w:val="00521F3B"/>
    <w:rsid w:val="00575A29"/>
    <w:rsid w:val="00601754"/>
    <w:rsid w:val="00616A58"/>
    <w:rsid w:val="006A34BE"/>
    <w:rsid w:val="006B3093"/>
    <w:rsid w:val="006F3F1C"/>
    <w:rsid w:val="007141F2"/>
    <w:rsid w:val="0075530D"/>
    <w:rsid w:val="007561D8"/>
    <w:rsid w:val="00771534"/>
    <w:rsid w:val="00795378"/>
    <w:rsid w:val="00796206"/>
    <w:rsid w:val="007966EB"/>
    <w:rsid w:val="007A0D9C"/>
    <w:rsid w:val="007C367E"/>
    <w:rsid w:val="007F121F"/>
    <w:rsid w:val="008071C5"/>
    <w:rsid w:val="008239FB"/>
    <w:rsid w:val="0085758B"/>
    <w:rsid w:val="00904839"/>
    <w:rsid w:val="00906D34"/>
    <w:rsid w:val="00933DC9"/>
    <w:rsid w:val="00936D4C"/>
    <w:rsid w:val="00943F96"/>
    <w:rsid w:val="009523F9"/>
    <w:rsid w:val="009650DF"/>
    <w:rsid w:val="009B1CBB"/>
    <w:rsid w:val="009C7BE1"/>
    <w:rsid w:val="009E43BA"/>
    <w:rsid w:val="00A0516D"/>
    <w:rsid w:val="00A22D5E"/>
    <w:rsid w:val="00A35C4C"/>
    <w:rsid w:val="00A64781"/>
    <w:rsid w:val="00B372A6"/>
    <w:rsid w:val="00B4721D"/>
    <w:rsid w:val="00B8473A"/>
    <w:rsid w:val="00BC24F8"/>
    <w:rsid w:val="00BF5A59"/>
    <w:rsid w:val="00C21815"/>
    <w:rsid w:val="00C315D2"/>
    <w:rsid w:val="00C353D8"/>
    <w:rsid w:val="00C9266C"/>
    <w:rsid w:val="00CA05FA"/>
    <w:rsid w:val="00CE0181"/>
    <w:rsid w:val="00CF5A91"/>
    <w:rsid w:val="00D02BB1"/>
    <w:rsid w:val="00D237FE"/>
    <w:rsid w:val="00D303C1"/>
    <w:rsid w:val="00D45A74"/>
    <w:rsid w:val="00D7428F"/>
    <w:rsid w:val="00E17549"/>
    <w:rsid w:val="00E23CA3"/>
    <w:rsid w:val="00E43846"/>
    <w:rsid w:val="00E6521A"/>
    <w:rsid w:val="00E65B03"/>
    <w:rsid w:val="00EC3746"/>
    <w:rsid w:val="00F539FB"/>
    <w:rsid w:val="00F85528"/>
    <w:rsid w:val="00FE11CA"/>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table" w:styleId="aa">
    <w:name w:val="Table Grid"/>
    <w:basedOn w:val="a1"/>
    <w:uiPriority w:val="39"/>
    <w:rsid w:val="0014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9C7BE1"/>
    <w:pPr>
      <w:tabs>
        <w:tab w:val="center" w:pos="4513"/>
        <w:tab w:val="right" w:pos="9026"/>
      </w:tabs>
      <w:snapToGrid w:val="0"/>
    </w:pPr>
  </w:style>
  <w:style w:type="character" w:customStyle="1" w:styleId="Char3">
    <w:name w:val="머리글 Char"/>
    <w:basedOn w:val="a0"/>
    <w:link w:val="ab"/>
    <w:uiPriority w:val="99"/>
    <w:rsid w:val="009C7BE1"/>
  </w:style>
  <w:style w:type="paragraph" w:styleId="ac">
    <w:name w:val="footer"/>
    <w:basedOn w:val="a"/>
    <w:link w:val="Char4"/>
    <w:uiPriority w:val="99"/>
    <w:unhideWhenUsed/>
    <w:rsid w:val="009C7BE1"/>
    <w:pPr>
      <w:tabs>
        <w:tab w:val="center" w:pos="4513"/>
        <w:tab w:val="right" w:pos="9026"/>
      </w:tabs>
      <w:snapToGrid w:val="0"/>
    </w:pPr>
  </w:style>
  <w:style w:type="character" w:customStyle="1" w:styleId="Char4">
    <w:name w:val="바닥글 Char"/>
    <w:basedOn w:val="a0"/>
    <w:link w:val="ac"/>
    <w:uiPriority w:val="99"/>
    <w:rsid w:val="009C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384">
      <w:bodyDiv w:val="1"/>
      <w:marLeft w:val="0"/>
      <w:marRight w:val="0"/>
      <w:marTop w:val="0"/>
      <w:marBottom w:val="0"/>
      <w:divBdr>
        <w:top w:val="none" w:sz="0" w:space="0" w:color="auto"/>
        <w:left w:val="none" w:sz="0" w:space="0" w:color="auto"/>
        <w:bottom w:val="none" w:sz="0" w:space="0" w:color="auto"/>
        <w:right w:val="none" w:sz="0" w:space="0" w:color="auto"/>
      </w:divBdr>
    </w:div>
    <w:div w:id="820780330">
      <w:bodyDiv w:val="1"/>
      <w:marLeft w:val="0"/>
      <w:marRight w:val="0"/>
      <w:marTop w:val="0"/>
      <w:marBottom w:val="0"/>
      <w:divBdr>
        <w:top w:val="none" w:sz="0" w:space="0" w:color="auto"/>
        <w:left w:val="none" w:sz="0" w:space="0" w:color="auto"/>
        <w:bottom w:val="none" w:sz="0" w:space="0" w:color="auto"/>
        <w:right w:val="none" w:sz="0" w:space="0" w:color="auto"/>
      </w:divBdr>
    </w:div>
    <w:div w:id="860241668">
      <w:bodyDiv w:val="1"/>
      <w:marLeft w:val="0"/>
      <w:marRight w:val="0"/>
      <w:marTop w:val="0"/>
      <w:marBottom w:val="0"/>
      <w:divBdr>
        <w:top w:val="none" w:sz="0" w:space="0" w:color="auto"/>
        <w:left w:val="none" w:sz="0" w:space="0" w:color="auto"/>
        <w:bottom w:val="none" w:sz="0" w:space="0" w:color="auto"/>
        <w:right w:val="none" w:sz="0" w:space="0" w:color="auto"/>
      </w:divBdr>
    </w:div>
    <w:div w:id="15987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0426E-68D0-4FE7-B427-B51D8DECC8B0}">
  <ds:schemaRefs>
    <ds:schemaRef ds:uri="http://schemas.openxmlformats.org/officeDocument/2006/bibliography"/>
  </ds:schemaRefs>
</ds:datastoreItem>
</file>

<file path=customXml/itemProps4.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487</Words>
  <Characters>2778</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미선 나</cp:lastModifiedBy>
  <cp:revision>20</cp:revision>
  <cp:lastPrinted>2025-07-28T03:36:00Z</cp:lastPrinted>
  <dcterms:created xsi:type="dcterms:W3CDTF">2025-07-23T01:32:00Z</dcterms:created>
  <dcterms:modified xsi:type="dcterms:W3CDTF">2025-07-29T09:40:00Z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