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05" w:rsidRPr="001B5B5D" w:rsidRDefault="002A1105" w:rsidP="00AA6B42">
      <w:pPr>
        <w:jc w:val="both"/>
        <w:rPr>
          <w:rFonts w:ascii="Calibri" w:hAnsi="Calibri" w:cs="Calibri"/>
          <w:b/>
          <w:sz w:val="20"/>
          <w:szCs w:val="20"/>
        </w:rPr>
      </w:pPr>
      <w:bookmarkStart w:id="0" w:name="_GoBack"/>
      <w:r w:rsidRPr="001B5B5D">
        <w:rPr>
          <w:rFonts w:ascii="Calibri" w:hAnsi="Calibri" w:cs="Calibri"/>
          <w:b/>
          <w:sz w:val="20"/>
          <w:szCs w:val="20"/>
        </w:rPr>
        <w:t>Efficacy of protocol-based outpatient blood pressure management in Sri Lanka</w:t>
      </w:r>
    </w:p>
    <w:bookmarkEnd w:id="0"/>
    <w:p w:rsidR="001E1AF8" w:rsidRPr="001B5B5D" w:rsidRDefault="001E1AF8" w:rsidP="00AA6B42">
      <w:pPr>
        <w:jc w:val="both"/>
        <w:rPr>
          <w:rFonts w:ascii="Calibri" w:hAnsi="Calibri" w:cs="Calibri"/>
          <w:bCs/>
          <w:color w:val="000000"/>
          <w:sz w:val="20"/>
          <w:szCs w:val="20"/>
          <w:lang w:val="en-GB"/>
        </w:rPr>
      </w:pP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Mettananda KCD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1,7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Perera A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2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 xml:space="preserve"> 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Premaratna R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1,7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Manilgama S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3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Ranasinghe S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4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Hettiarachchi NM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4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Jayasekara P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5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Lamabadusuriya D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6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De Zoysa W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6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Jayasundara K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7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Matthias AT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8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Wickramasinghe MKII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1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De Saram EMTK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1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Mallawa MSR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1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Premaratna RA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1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Fernando JSU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1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Ranasinghe SDAE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1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Ranawaka RATSH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1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Wickramasinghe Champika</w:t>
      </w:r>
      <w:r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9</w:t>
      </w:r>
    </w:p>
    <w:p w:rsidR="005D4707" w:rsidRPr="001B5B5D" w:rsidRDefault="00AC4BB1" w:rsidP="00AA6B42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Faculty of Med, Univ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 of Kelaniya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 xml:space="preserve">1, 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</w:rPr>
        <w:t xml:space="preserve">Ragama, Sri Lanka. 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District General Hosp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2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, Gampaha, 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</w:rPr>
        <w:t xml:space="preserve">Sri Lanka. 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National Institute of Infectious Diseases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3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</w:rPr>
        <w:t xml:space="preserve"> Sri Lanka.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 </w:t>
      </w:r>
      <w:r w:rsidRPr="001B5B5D">
        <w:rPr>
          <w:rFonts w:ascii="Calibri" w:hAnsi="Calibri" w:cs="Calibri"/>
          <w:bCs/>
          <w:color w:val="000000"/>
          <w:sz w:val="20"/>
          <w:szCs w:val="20"/>
        </w:rPr>
        <w:t>Teaching Hosp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</w:rPr>
        <w:t>4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</w:rPr>
        <w:t xml:space="preserve">, Peradeniya 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, 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</w:rPr>
        <w:t>Sri Lanka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 . 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Faculty of Med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, 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</w:rPr>
        <w:t>General Sir Jo</w:t>
      </w:r>
      <w:r w:rsidRPr="001B5B5D">
        <w:rPr>
          <w:rFonts w:ascii="Calibri" w:hAnsi="Calibri" w:cs="Calibri"/>
          <w:bCs/>
          <w:color w:val="000000"/>
          <w:sz w:val="20"/>
          <w:szCs w:val="20"/>
        </w:rPr>
        <w:t>hn Kotelawala Defence Univ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</w:rPr>
        <w:t>5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</w:rPr>
        <w:t xml:space="preserve"> 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</w:rPr>
        <w:t xml:space="preserve">, Sri Lanka. 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 </w:t>
      </w:r>
      <w:r w:rsidRPr="001B5B5D">
        <w:rPr>
          <w:rFonts w:ascii="Calibri" w:hAnsi="Calibri" w:cs="Calibri"/>
          <w:bCs/>
          <w:color w:val="000000"/>
          <w:sz w:val="20"/>
          <w:szCs w:val="20"/>
        </w:rPr>
        <w:t>Teaching Hosp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</w:rPr>
        <w:t>6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</w:rPr>
        <w:t xml:space="preserve">, Karapitiya , 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</w:rPr>
        <w:t>Sri Lanka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 .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Colombo North Teaching Hosp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7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 , 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</w:rPr>
        <w:t>Ragama, Sri Lanka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 . 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Colombo South Teaching Hosp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 xml:space="preserve">8 , 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</w:rPr>
        <w:t xml:space="preserve">Kalubowila, Sri Lanka . 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NCD directorate</w:t>
      </w:r>
      <w:r w:rsidR="00E1531B" w:rsidRPr="001B5B5D">
        <w:rPr>
          <w:rFonts w:ascii="Calibri" w:hAnsi="Calibri" w:cs="Calibri"/>
          <w:bCs/>
          <w:color w:val="000000"/>
          <w:sz w:val="20"/>
          <w:szCs w:val="20"/>
          <w:vertAlign w:val="superscript"/>
          <w:lang w:val="en-GB"/>
        </w:rPr>
        <w:t>9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>, Ministry of Health,</w:t>
      </w:r>
      <w:r w:rsidRPr="001B5B5D">
        <w:rPr>
          <w:rFonts w:ascii="Calibri" w:hAnsi="Calibri" w:cs="Calibri"/>
          <w:bCs/>
          <w:color w:val="000000"/>
          <w:sz w:val="20"/>
          <w:szCs w:val="20"/>
          <w:lang w:val="en-GB"/>
        </w:rPr>
        <w:t xml:space="preserve"> </w:t>
      </w:r>
      <w:r w:rsidR="005D4707" w:rsidRPr="001B5B5D">
        <w:rPr>
          <w:rFonts w:ascii="Calibri" w:hAnsi="Calibri" w:cs="Calibri"/>
          <w:bCs/>
          <w:color w:val="000000"/>
          <w:sz w:val="20"/>
          <w:szCs w:val="20"/>
        </w:rPr>
        <w:t>Sri Lanka.</w:t>
      </w:r>
    </w:p>
    <w:p w:rsidR="00711813" w:rsidRPr="001B5B5D" w:rsidRDefault="00711813" w:rsidP="00AA6B42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1B5B5D">
        <w:rPr>
          <w:i/>
          <w:color w:val="auto"/>
          <w:sz w:val="20"/>
          <w:szCs w:val="20"/>
        </w:rPr>
        <w:t xml:space="preserve"> </w:t>
      </w:r>
    </w:p>
    <w:p w:rsidR="00371C0A" w:rsidRPr="001B5B5D" w:rsidRDefault="00711813" w:rsidP="00AA6B42">
      <w:pPr>
        <w:jc w:val="both"/>
        <w:rPr>
          <w:rFonts w:ascii="Calibri" w:hAnsi="Calibri" w:cs="Calibri"/>
          <w:bCs/>
          <w:sz w:val="20"/>
          <w:szCs w:val="20"/>
        </w:rPr>
      </w:pPr>
      <w:r w:rsidRPr="001B5B5D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1B5B5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B5B5D" w:rsidRPr="001B5B5D">
        <w:rPr>
          <w:rFonts w:ascii="Calibri" w:hAnsi="Calibri" w:cs="Calibri"/>
          <w:bCs/>
          <w:sz w:val="20"/>
          <w:szCs w:val="20"/>
        </w:rPr>
        <w:t>Despite established guidelines, blood pressure (BP) control remains suboptimal worldwide, largely due to poor implementation. To address this, the Ministry of Health, Sri Lanka, introduced protocol-based BP management (PB-BPM) with digital app-based patient follow-up (DAB-PF) in selected hospitals from 2024.</w:t>
      </w:r>
    </w:p>
    <w:p w:rsidR="005D4707" w:rsidRPr="001B5B5D" w:rsidRDefault="00711813" w:rsidP="00AA6B42">
      <w:pPr>
        <w:jc w:val="both"/>
        <w:rPr>
          <w:rFonts w:ascii="Calibri" w:hAnsi="Calibri" w:cs="Calibri"/>
          <w:sz w:val="20"/>
          <w:szCs w:val="20"/>
        </w:rPr>
      </w:pPr>
      <w:r w:rsidRPr="001B5B5D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1B5B5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B5B5D" w:rsidRPr="001B5B5D">
        <w:rPr>
          <w:rFonts w:ascii="Calibri" w:hAnsi="Calibri" w:cs="Calibri"/>
          <w:bCs/>
          <w:sz w:val="20"/>
          <w:szCs w:val="20"/>
        </w:rPr>
        <w:t>To assess the efficacy of PB-BPM and DAB-PF in improving BP control in outpatient clinics of secondary/tertiary hospitals in Sri Lanka</w:t>
      </w:r>
    </w:p>
    <w:p w:rsidR="001B5B5D" w:rsidRPr="001B5B5D" w:rsidRDefault="00711813" w:rsidP="00371C0A">
      <w:pPr>
        <w:jc w:val="both"/>
        <w:rPr>
          <w:rFonts w:ascii="Calibri" w:hAnsi="Calibri" w:cs="Calibri"/>
          <w:bCs/>
          <w:sz w:val="20"/>
          <w:szCs w:val="20"/>
        </w:rPr>
      </w:pPr>
      <w:r w:rsidRPr="001B5B5D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1B5B5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B5B5D" w:rsidRPr="001B5B5D">
        <w:rPr>
          <w:rFonts w:ascii="Calibri" w:hAnsi="Calibri" w:cs="Calibri"/>
          <w:bCs/>
          <w:sz w:val="20"/>
          <w:szCs w:val="20"/>
        </w:rPr>
        <w:t>Consecutive patients attending selected outpatient clinics were initiated on PB-BPM and followed every 2 months. Controlled BP was defined as &lt;140/90 mmHg per national guidelines. Mean BP, BP reduction, and the proportion achieving target BP at 12 months were compared with baseline. Patient satisfaction was rated on a 10-point Likert scale; compliance was assessed by questionnaire.</w:t>
      </w:r>
    </w:p>
    <w:p w:rsidR="001B5B5D" w:rsidRPr="001B5B5D" w:rsidRDefault="00711813" w:rsidP="001B5B5D">
      <w:pPr>
        <w:jc w:val="both"/>
        <w:rPr>
          <w:rFonts w:ascii="Calibri" w:hAnsi="Calibri" w:cs="Calibri"/>
          <w:sz w:val="20"/>
          <w:szCs w:val="20"/>
        </w:rPr>
      </w:pPr>
      <w:r w:rsidRPr="001B5B5D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1B5B5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B5B5D" w:rsidRPr="001B5B5D">
        <w:rPr>
          <w:rFonts w:ascii="Calibri" w:hAnsi="Calibri" w:cs="Calibri"/>
          <w:sz w:val="20"/>
          <w:szCs w:val="20"/>
        </w:rPr>
        <w:t>A total of 7,179 patients were enrolled across Gampaha, Colombo, and Kandy districts. Complete 12-month follow-up data were available for 1,261 patients (74.5% female; mean age 63.2±10.6 years). Baseline mean SBP was 134.9 mmHg (95% CI: 133.9–135.9), with 74.2% controlled. At 12 months, mean SBP reduced to 132.2 mmHg (95% CI: 131.4–132.9), with 83.9% controlled. The mean SBP drop was 2.79 mmHg. Improvements in mean SBP and BP control rates were statistically significant (p&lt;0.001, paired t-test; p&lt;0.001, McNemar test). Patient satisfaction remained high (8.9/10 at baseline vs. 9.0/10 at 12 months, p=1.000). However, treatment compliance declined, with more missed doses and self-directed dose reductions reported</w:t>
      </w:r>
    </w:p>
    <w:p w:rsidR="005D4707" w:rsidRPr="00371C0A" w:rsidRDefault="00711813" w:rsidP="001B5B5D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1B5B5D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1B5B5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D4707" w:rsidRPr="001B5B5D">
        <w:rPr>
          <w:rFonts w:ascii="Calibri" w:hAnsi="Calibri" w:cs="Calibri"/>
          <w:sz w:val="20"/>
          <w:szCs w:val="20"/>
        </w:rPr>
        <w:t xml:space="preserve">The new guideline-based BP management programme and digital app-based patient follow-up improved BP control </w:t>
      </w:r>
      <w:r w:rsidR="005D4707" w:rsidRPr="001B5B5D">
        <w:rPr>
          <w:rFonts w:ascii="Calibri" w:hAnsi="Calibri" w:cs="Calibri"/>
          <w:color w:val="000000"/>
          <w:sz w:val="20"/>
          <w:szCs w:val="20"/>
        </w:rPr>
        <w:t>in this cohort of outpatients managed at secondary/tertiary-care hospitals in Sri Lanka.</w:t>
      </w:r>
      <w:r w:rsidR="005D4707" w:rsidRPr="00E653F9">
        <w:rPr>
          <w:rFonts w:ascii="Calibri" w:hAnsi="Calibri" w:cs="Calibri"/>
          <w:b/>
          <w:sz w:val="20"/>
          <w:szCs w:val="20"/>
        </w:rPr>
        <w:t xml:space="preserve"> </w:t>
      </w:r>
    </w:p>
    <w:p w:rsidR="004E5450" w:rsidRPr="00E653F9" w:rsidRDefault="004E5450" w:rsidP="00AA6B42">
      <w:pPr>
        <w:jc w:val="both"/>
        <w:rPr>
          <w:rFonts w:ascii="Calibri" w:hAnsi="Calibri" w:cs="Calibri"/>
          <w:sz w:val="20"/>
          <w:szCs w:val="20"/>
        </w:rPr>
      </w:pPr>
    </w:p>
    <w:p w:rsidR="00E14B7D" w:rsidRDefault="00E14B7D" w:rsidP="00AA6B42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:rsidR="00E14B7D" w:rsidRDefault="00E14B7D" w:rsidP="00AA6B42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:rsidR="00F97620" w:rsidRPr="00E653F9" w:rsidRDefault="00F97620" w:rsidP="00AA6B42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F97620" w:rsidRPr="00E653F9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6BB"/>
    <w:rsid w:val="000A4FA6"/>
    <w:rsid w:val="001B5B5D"/>
    <w:rsid w:val="001E1AF8"/>
    <w:rsid w:val="002272B0"/>
    <w:rsid w:val="002A1105"/>
    <w:rsid w:val="00300B92"/>
    <w:rsid w:val="003238D9"/>
    <w:rsid w:val="00371C0A"/>
    <w:rsid w:val="00387491"/>
    <w:rsid w:val="003B0A94"/>
    <w:rsid w:val="0040796D"/>
    <w:rsid w:val="00444224"/>
    <w:rsid w:val="00483B05"/>
    <w:rsid w:val="004D4252"/>
    <w:rsid w:val="004E28B9"/>
    <w:rsid w:val="004E50FC"/>
    <w:rsid w:val="004E5450"/>
    <w:rsid w:val="0059609A"/>
    <w:rsid w:val="00597659"/>
    <w:rsid w:val="005D1700"/>
    <w:rsid w:val="005D4707"/>
    <w:rsid w:val="005E48A2"/>
    <w:rsid w:val="005E62BE"/>
    <w:rsid w:val="006408A9"/>
    <w:rsid w:val="006A69EF"/>
    <w:rsid w:val="00711813"/>
    <w:rsid w:val="00724E3C"/>
    <w:rsid w:val="00743C46"/>
    <w:rsid w:val="00760B17"/>
    <w:rsid w:val="00885303"/>
    <w:rsid w:val="008909C9"/>
    <w:rsid w:val="00947B77"/>
    <w:rsid w:val="009E2228"/>
    <w:rsid w:val="009F06D6"/>
    <w:rsid w:val="00A266B4"/>
    <w:rsid w:val="00A71DEF"/>
    <w:rsid w:val="00AA6B42"/>
    <w:rsid w:val="00AC4BB1"/>
    <w:rsid w:val="00AE2DA6"/>
    <w:rsid w:val="00BC5FCC"/>
    <w:rsid w:val="00C132EC"/>
    <w:rsid w:val="00C60A71"/>
    <w:rsid w:val="00CB2206"/>
    <w:rsid w:val="00D55F3B"/>
    <w:rsid w:val="00DA2731"/>
    <w:rsid w:val="00E14B7D"/>
    <w:rsid w:val="00E1531B"/>
    <w:rsid w:val="00E653F9"/>
    <w:rsid w:val="00E7590B"/>
    <w:rsid w:val="00EF12F3"/>
    <w:rsid w:val="00F02477"/>
    <w:rsid w:val="00F90F73"/>
    <w:rsid w:val="00F97620"/>
    <w:rsid w:val="00FB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F942E"/>
  <w15:chartTrackingRefBased/>
  <w15:docId w15:val="{344EC6C4-AFDC-4783-974B-A51B416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E1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AF8"/>
    <w:rPr>
      <w:rFonts w:ascii="Arial" w:hAnsi="Arial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1E1A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AF8"/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1E1AF8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8325B-9996-45E1-A442-8FFA17A64821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2280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ME/2017/085</cp:lastModifiedBy>
  <cp:revision>2</cp:revision>
  <cp:lastPrinted>2013-06-13T09:45:00Z</cp:lastPrinted>
  <dcterms:created xsi:type="dcterms:W3CDTF">2025-09-15T18:01:00Z</dcterms:created>
  <dcterms:modified xsi:type="dcterms:W3CDTF">2025-09-15T18:01:00Z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96480ab3-214b-43b0-8104-511f7879b060</vt:lpwstr>
  </property>
</Properties>
</file>