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4CF4" w14:textId="4901BB7D" w:rsidR="00182784" w:rsidRDefault="00182784" w:rsidP="00182784">
      <w:pPr>
        <w:jc w:val="both"/>
        <w:rPr>
          <w:rFonts w:ascii="Calibri" w:hAnsi="Calibri" w:cs="Calibri"/>
          <w:b/>
          <w:sz w:val="20"/>
          <w:szCs w:val="20"/>
        </w:rPr>
      </w:pPr>
      <w:r w:rsidRPr="00182784">
        <w:rPr>
          <w:rFonts w:ascii="Calibri" w:hAnsi="Calibri" w:cs="Calibri"/>
          <w:b/>
          <w:sz w:val="20"/>
          <w:szCs w:val="20"/>
        </w:rPr>
        <w:t>Resveratrol versus curcumin:</w:t>
      </w:r>
      <w:r>
        <w:rPr>
          <w:rFonts w:ascii="Calibri" w:hAnsi="Calibri" w:cs="Calibri"/>
          <w:b/>
          <w:sz w:val="20"/>
          <w:szCs w:val="20"/>
        </w:rPr>
        <w:t xml:space="preserve"> </w:t>
      </w:r>
      <w:r w:rsidRPr="00182784">
        <w:rPr>
          <w:rFonts w:ascii="Calibri" w:hAnsi="Calibri" w:cs="Calibri"/>
          <w:b/>
          <w:sz w:val="20"/>
          <w:szCs w:val="20"/>
        </w:rPr>
        <w:t xml:space="preserve">neuroprotective evaluation in an MPTP-induced </w:t>
      </w:r>
      <w:r w:rsidR="00D16280">
        <w:rPr>
          <w:rFonts w:ascii="Calibri" w:hAnsi="Calibri" w:cs="Calibri"/>
          <w:b/>
          <w:sz w:val="20"/>
          <w:szCs w:val="20"/>
        </w:rPr>
        <w:t>P</w:t>
      </w:r>
      <w:r w:rsidRPr="00182784">
        <w:rPr>
          <w:rFonts w:ascii="Calibri" w:hAnsi="Calibri" w:cs="Calibri"/>
          <w:b/>
          <w:sz w:val="20"/>
          <w:szCs w:val="20"/>
        </w:rPr>
        <w:t>arkinson’s disease</w:t>
      </w:r>
      <w:r>
        <w:rPr>
          <w:rFonts w:ascii="Calibri" w:hAnsi="Calibri" w:cs="Calibri"/>
          <w:b/>
          <w:sz w:val="20"/>
          <w:szCs w:val="20"/>
        </w:rPr>
        <w:t xml:space="preserve"> model</w:t>
      </w:r>
      <w:bookmarkStart w:id="0" w:name="_GoBack"/>
      <w:bookmarkEnd w:id="0"/>
    </w:p>
    <w:p w14:paraId="586D098D" w14:textId="7AA0F02F" w:rsidR="00182784" w:rsidRDefault="0006030F" w:rsidP="00182784">
      <w:pPr>
        <w:jc w:val="both"/>
        <w:rPr>
          <w:rFonts w:ascii="Calibri" w:hAnsi="Calibri" w:cs="Calibri"/>
          <w:sz w:val="20"/>
          <w:szCs w:val="20"/>
          <w:lang w:val="en-AU"/>
        </w:rPr>
      </w:pPr>
      <w:r>
        <w:rPr>
          <w:rFonts w:ascii="Calibri" w:hAnsi="Calibri" w:cs="Calibri"/>
          <w:sz w:val="20"/>
          <w:szCs w:val="20"/>
          <w:lang w:val="en-AU"/>
        </w:rPr>
        <w:t>Rajendra Nath</w:t>
      </w:r>
      <w:r>
        <w:rPr>
          <w:rFonts w:ascii="Calibri" w:hAnsi="Calibri" w:cs="Calibri"/>
          <w:sz w:val="20"/>
          <w:szCs w:val="20"/>
          <w:vertAlign w:val="superscript"/>
          <w:lang w:val="en-AU"/>
        </w:rPr>
        <w:t>1</w:t>
      </w:r>
      <w:r>
        <w:rPr>
          <w:rFonts w:ascii="Calibri" w:hAnsi="Calibri" w:cs="Calibri"/>
          <w:sz w:val="20"/>
          <w:szCs w:val="20"/>
          <w:lang w:val="en-AU"/>
        </w:rPr>
        <w:t xml:space="preserve"> ,</w:t>
      </w:r>
      <w:r w:rsidR="00182784">
        <w:rPr>
          <w:rFonts w:ascii="Calibri" w:hAnsi="Calibri" w:cs="Calibri"/>
          <w:sz w:val="20"/>
          <w:szCs w:val="20"/>
          <w:lang w:val="en-AU"/>
        </w:rPr>
        <w:t>Shalini Singh</w:t>
      </w:r>
      <w:r w:rsidR="00182784" w:rsidRPr="004E5450">
        <w:rPr>
          <w:rFonts w:ascii="Calibri" w:hAnsi="Calibri" w:cs="Calibri"/>
          <w:sz w:val="20"/>
          <w:szCs w:val="20"/>
          <w:vertAlign w:val="superscript"/>
          <w:lang w:val="en-AU"/>
        </w:rPr>
        <w:t>1</w:t>
      </w:r>
      <w:r w:rsidR="00182784" w:rsidRPr="004E5450">
        <w:rPr>
          <w:rFonts w:ascii="Calibri" w:hAnsi="Calibri" w:cs="Calibri"/>
          <w:sz w:val="20"/>
          <w:szCs w:val="20"/>
          <w:lang w:val="en-AU"/>
        </w:rPr>
        <w:t>,</w:t>
      </w:r>
      <w:r>
        <w:rPr>
          <w:rFonts w:ascii="Calibri" w:hAnsi="Calibri" w:cs="Calibri"/>
          <w:sz w:val="20"/>
          <w:szCs w:val="20"/>
          <w:lang w:val="en-AU"/>
        </w:rPr>
        <w:t xml:space="preserve"> </w:t>
      </w:r>
      <w:r w:rsidR="00182784">
        <w:rPr>
          <w:rFonts w:ascii="Calibri" w:hAnsi="Calibri" w:cs="Calibri"/>
          <w:sz w:val="20"/>
          <w:szCs w:val="20"/>
          <w:lang w:val="en-AU"/>
        </w:rPr>
        <w:t>Karan Suneja</w:t>
      </w:r>
      <w:r w:rsidR="00182784">
        <w:rPr>
          <w:rFonts w:ascii="Calibri" w:hAnsi="Calibri" w:cs="Calibri"/>
          <w:sz w:val="20"/>
          <w:szCs w:val="20"/>
          <w:vertAlign w:val="superscript"/>
          <w:lang w:val="en-AU"/>
        </w:rPr>
        <w:t>1</w:t>
      </w:r>
      <w:r w:rsidR="00182784">
        <w:rPr>
          <w:rFonts w:ascii="Calibri" w:hAnsi="Calibri" w:cs="Calibri"/>
          <w:sz w:val="20"/>
          <w:szCs w:val="20"/>
          <w:lang w:val="en-AU"/>
        </w:rPr>
        <w:t>,</w:t>
      </w:r>
      <w:r>
        <w:rPr>
          <w:rFonts w:ascii="Calibri" w:hAnsi="Calibri" w:cs="Calibri"/>
          <w:sz w:val="20"/>
          <w:szCs w:val="20"/>
          <w:lang w:val="en-AU"/>
        </w:rPr>
        <w:t xml:space="preserve"> </w:t>
      </w:r>
      <w:r w:rsidR="00182784">
        <w:rPr>
          <w:rFonts w:ascii="Calibri" w:hAnsi="Calibri" w:cs="Calibri"/>
          <w:sz w:val="20"/>
          <w:szCs w:val="20"/>
          <w:lang w:val="en-AU"/>
        </w:rPr>
        <w:t>Rishi Pal</w:t>
      </w:r>
      <w:r w:rsidR="00182784">
        <w:rPr>
          <w:rFonts w:ascii="Calibri" w:hAnsi="Calibri" w:cs="Calibri"/>
          <w:sz w:val="20"/>
          <w:szCs w:val="20"/>
          <w:vertAlign w:val="superscript"/>
          <w:lang w:val="en-AU"/>
        </w:rPr>
        <w:t xml:space="preserve">1 </w:t>
      </w:r>
      <w:r w:rsidR="00182784">
        <w:rPr>
          <w:rFonts w:ascii="Calibri" w:hAnsi="Calibri" w:cs="Calibri"/>
          <w:sz w:val="20"/>
          <w:szCs w:val="20"/>
          <w:lang w:val="en-AU"/>
        </w:rPr>
        <w:t>, Department of Pharmacology and Therapeutics</w:t>
      </w:r>
      <w:r w:rsidR="00182784" w:rsidRPr="004E5450">
        <w:rPr>
          <w:rFonts w:ascii="Calibri" w:hAnsi="Calibri" w:cs="Calibri"/>
          <w:sz w:val="20"/>
          <w:szCs w:val="20"/>
          <w:lang w:val="en-AU"/>
        </w:rPr>
        <w:t xml:space="preserve">, </w:t>
      </w:r>
      <w:r w:rsidR="00182784">
        <w:rPr>
          <w:rFonts w:ascii="Calibri" w:hAnsi="Calibri" w:cs="Calibri"/>
          <w:sz w:val="20"/>
          <w:szCs w:val="20"/>
          <w:lang w:val="en-AU"/>
        </w:rPr>
        <w:t>King George’s Medical University</w:t>
      </w:r>
      <w:r w:rsidR="00182784">
        <w:rPr>
          <w:rFonts w:ascii="Calibri" w:hAnsi="Calibri" w:cs="Calibri"/>
          <w:sz w:val="20"/>
          <w:szCs w:val="20"/>
          <w:vertAlign w:val="superscript"/>
          <w:lang w:val="en-AU"/>
        </w:rPr>
        <w:t>1</w:t>
      </w:r>
      <w:r w:rsidR="00182784" w:rsidRPr="004E5450">
        <w:rPr>
          <w:rFonts w:ascii="Calibri" w:hAnsi="Calibri" w:cs="Calibri"/>
          <w:sz w:val="20"/>
          <w:szCs w:val="20"/>
          <w:lang w:val="en-AU"/>
        </w:rPr>
        <w:t xml:space="preserve">, </w:t>
      </w:r>
      <w:r w:rsidR="00182784">
        <w:rPr>
          <w:rFonts w:ascii="Calibri" w:hAnsi="Calibri" w:cs="Calibri"/>
          <w:sz w:val="20"/>
          <w:szCs w:val="20"/>
          <w:lang w:val="en-AU"/>
        </w:rPr>
        <w:t>Lucknow</w:t>
      </w:r>
      <w:r w:rsidR="00182784" w:rsidRPr="004E5450">
        <w:rPr>
          <w:rFonts w:ascii="Calibri" w:hAnsi="Calibri" w:cs="Calibri"/>
          <w:sz w:val="20"/>
          <w:szCs w:val="20"/>
          <w:lang w:val="en-AU"/>
        </w:rPr>
        <w:t xml:space="preserve">, </w:t>
      </w:r>
      <w:r w:rsidR="00182784">
        <w:rPr>
          <w:rFonts w:ascii="Calibri" w:hAnsi="Calibri" w:cs="Calibri"/>
          <w:sz w:val="20"/>
          <w:szCs w:val="20"/>
          <w:lang w:val="en-AU"/>
        </w:rPr>
        <w:t>U.P.</w:t>
      </w:r>
      <w:r w:rsidR="00182784" w:rsidRPr="004E5450">
        <w:rPr>
          <w:rFonts w:ascii="Calibri" w:hAnsi="Calibri" w:cs="Calibri"/>
          <w:sz w:val="20"/>
          <w:szCs w:val="20"/>
          <w:lang w:val="en-AU"/>
        </w:rPr>
        <w:t xml:space="preserve">, </w:t>
      </w:r>
      <w:r w:rsidR="00182784">
        <w:rPr>
          <w:rFonts w:ascii="Calibri" w:hAnsi="Calibri" w:cs="Calibri"/>
          <w:sz w:val="20"/>
          <w:szCs w:val="20"/>
          <w:lang w:val="en-AU"/>
        </w:rPr>
        <w:t>India</w:t>
      </w:r>
    </w:p>
    <w:p w14:paraId="6A14490D" w14:textId="77777777" w:rsidR="00182784" w:rsidRDefault="00182784" w:rsidP="00182784">
      <w:pPr>
        <w:pStyle w:val="Default"/>
        <w:jc w:val="both"/>
        <w:rPr>
          <w:i/>
          <w:color w:val="auto"/>
          <w:sz w:val="20"/>
          <w:szCs w:val="20"/>
        </w:rPr>
      </w:pPr>
    </w:p>
    <w:p w14:paraId="274367F8" w14:textId="77777777" w:rsidR="00182784" w:rsidRPr="00182784" w:rsidRDefault="0081055E" w:rsidP="00182784">
      <w:pPr>
        <w:pStyle w:val="Default"/>
        <w:jc w:val="both"/>
        <w:rPr>
          <w:color w:val="auto"/>
          <w:sz w:val="20"/>
          <w:szCs w:val="20"/>
          <w:lang w:val="en-AU"/>
        </w:rPr>
      </w:pPr>
      <w:r w:rsidRPr="004E5450">
        <w:rPr>
          <w:noProof/>
          <w:lang w:val="en-IN" w:eastAsia="en-IN" w:bidi="hi-IN"/>
        </w:rPr>
        <w:drawing>
          <wp:anchor distT="6096" distB="34671" distL="163068" distR="115443" simplePos="0" relativeHeight="251657728" behindDoc="0" locked="0" layoutInCell="1" allowOverlap="1" wp14:anchorId="1A095F6E" wp14:editId="67B853F0">
            <wp:simplePos x="0" y="0"/>
            <wp:positionH relativeFrom="column">
              <wp:posOffset>3922053</wp:posOffset>
            </wp:positionH>
            <wp:positionV relativeFrom="paragraph">
              <wp:posOffset>78593</wp:posOffset>
            </wp:positionV>
            <wp:extent cx="2313305" cy="1463073"/>
            <wp:effectExtent l="0" t="0" r="0" b="0"/>
            <wp:wrapSquare wrapText="bothSides"/>
            <wp:docPr id="2" name="O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 3"/>
                    <pic:cNvPicPr>
                      <a:picLocks/>
                    </pic:cNvPicPr>
                  </pic:nvPicPr>
                  <pic:blipFill rotWithShape="1">
                    <a:blip r:embed="rId6">
                      <a:extLst>
                        <a:ext uri="{BEBA8EAE-BF5A-486C-A8C5-ECC9F3942E4B}">
                          <a14:imgProps xmlns:a14="http://schemas.microsoft.com/office/drawing/2010/main">
                            <a14:imgLayer r:embed="rId7">
                              <a14:imgEffect>
                                <a14:saturation sat="0"/>
                              </a14:imgEffect>
                            </a14:imgLayer>
                          </a14:imgProps>
                        </a:ext>
                      </a:extLst>
                    </a:blip>
                    <a:srcRect t="5131" b="1"/>
                    <a:stretch/>
                  </pic:blipFill>
                  <pic:spPr bwMode="auto">
                    <a:xfrm>
                      <a:off x="0" y="0"/>
                      <a:ext cx="2313305" cy="14630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813" w:rsidRPr="004E5450">
        <w:rPr>
          <w:i/>
          <w:color w:val="auto"/>
          <w:sz w:val="20"/>
          <w:szCs w:val="20"/>
        </w:rPr>
        <w:t xml:space="preserve"> </w:t>
      </w:r>
      <w:r w:rsidR="00711813" w:rsidRPr="00444224">
        <w:rPr>
          <w:b/>
          <w:bCs/>
          <w:sz w:val="20"/>
          <w:szCs w:val="20"/>
          <w:lang w:val="en-AU"/>
        </w:rPr>
        <w:t>Introduction.</w:t>
      </w:r>
      <w:r w:rsidR="00711813" w:rsidRPr="004E5450">
        <w:rPr>
          <w:sz w:val="20"/>
          <w:szCs w:val="20"/>
          <w:lang w:val="en-AU"/>
        </w:rPr>
        <w:t xml:space="preserve"> </w:t>
      </w:r>
      <w:r w:rsidR="00182784" w:rsidRPr="00182784">
        <w:rPr>
          <w:sz w:val="20"/>
          <w:szCs w:val="20"/>
        </w:rPr>
        <w:t>Parkinson’s</w:t>
      </w:r>
      <w:r w:rsidR="00182784">
        <w:rPr>
          <w:sz w:val="20"/>
          <w:szCs w:val="20"/>
        </w:rPr>
        <w:t xml:space="preserve"> </w:t>
      </w:r>
      <w:r w:rsidR="00182784" w:rsidRPr="00182784">
        <w:rPr>
          <w:sz w:val="20"/>
          <w:szCs w:val="20"/>
        </w:rPr>
        <w:t>disease (PD)</w:t>
      </w:r>
      <w:r w:rsidR="00182784">
        <w:rPr>
          <w:sz w:val="20"/>
          <w:szCs w:val="20"/>
        </w:rPr>
        <w:t xml:space="preserve">, </w:t>
      </w:r>
      <w:r w:rsidR="00182784" w:rsidRPr="00182784">
        <w:rPr>
          <w:sz w:val="20"/>
          <w:szCs w:val="20"/>
        </w:rPr>
        <w:t xml:space="preserve">progressive neurodegenerative disorder </w:t>
      </w:r>
      <w:r w:rsidR="00182784">
        <w:rPr>
          <w:sz w:val="20"/>
          <w:szCs w:val="20"/>
        </w:rPr>
        <w:t xml:space="preserve">marked </w:t>
      </w:r>
      <w:r w:rsidR="00182784" w:rsidRPr="00182784">
        <w:rPr>
          <w:sz w:val="20"/>
          <w:szCs w:val="20"/>
        </w:rPr>
        <w:t>by dopaminergic neuronal loss, α-synuclein aggregation, and neuroinflammation (Choong &amp; Mochizuki, 2022). Although levodopa remains the standard symptomatic therapy, there is growing interest in natural polyphenols with potential disease-modifying properties. Resveratrol and curcumin possess antioxidant and anti-inflammatory activities but have not been extensively compared head-to-head for neuroprotective efficacy in PD</w:t>
      </w:r>
      <w:r w:rsidR="00182784">
        <w:rPr>
          <w:sz w:val="20"/>
          <w:szCs w:val="20"/>
        </w:rPr>
        <w:t>.</w:t>
      </w:r>
    </w:p>
    <w:p w14:paraId="5FF84C50" w14:textId="0B2B2553" w:rsidR="00182784" w:rsidRDefault="00711813" w:rsidP="00711813">
      <w:pPr>
        <w:jc w:val="both"/>
        <w:rPr>
          <w:rFonts w:ascii="Calibri" w:hAnsi="Calibri" w:cs="Calibri"/>
          <w:sz w:val="20"/>
          <w:szCs w:val="20"/>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182784" w:rsidRPr="00182784">
        <w:rPr>
          <w:rFonts w:ascii="Calibri" w:hAnsi="Calibri" w:cs="Calibri"/>
          <w:sz w:val="20"/>
          <w:szCs w:val="20"/>
        </w:rPr>
        <w:t>To compare the neuroprotective effects of resveratrol and curcumin on α-synuclein and TNF-α levels in an MPTP</w:t>
      </w:r>
      <w:r w:rsidR="0006030F">
        <w:rPr>
          <w:rFonts w:ascii="Calibri" w:hAnsi="Calibri" w:cs="Calibri"/>
          <w:sz w:val="20"/>
          <w:szCs w:val="20"/>
        </w:rPr>
        <w:t xml:space="preserve"> </w:t>
      </w:r>
      <w:r w:rsidR="00182784">
        <w:rPr>
          <w:rFonts w:ascii="Calibri" w:hAnsi="Calibri" w:cs="Calibri"/>
          <w:sz w:val="20"/>
          <w:szCs w:val="20"/>
        </w:rPr>
        <w:t xml:space="preserve">(1-methyl 4-phenyl tetrahydropyridine) </w:t>
      </w:r>
      <w:r w:rsidR="00182784" w:rsidRPr="00182784">
        <w:rPr>
          <w:rFonts w:ascii="Calibri" w:hAnsi="Calibri" w:cs="Calibri"/>
          <w:sz w:val="20"/>
          <w:szCs w:val="20"/>
        </w:rPr>
        <w:t>induced PD mouse model.</w:t>
      </w:r>
    </w:p>
    <w:p w14:paraId="5394943E" w14:textId="69F9EC05" w:rsidR="00182784" w:rsidRDefault="00711813" w:rsidP="00711813">
      <w:pPr>
        <w:jc w:val="both"/>
        <w:rPr>
          <w:rFonts w:ascii="Calibri" w:hAnsi="Calibri" w:cs="Calibri"/>
          <w:sz w:val="20"/>
          <w:szCs w:val="20"/>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182784" w:rsidRPr="00182784">
        <w:rPr>
          <w:rFonts w:ascii="Calibri" w:hAnsi="Calibri" w:cs="Calibri"/>
          <w:sz w:val="20"/>
          <w:szCs w:val="20"/>
        </w:rPr>
        <w:t>C57BL/6 mice were divided into four groups: normal control, PD control (MPTP 30 mg/kg</w:t>
      </w:r>
      <w:r w:rsidR="00A1473B">
        <w:rPr>
          <w:rFonts w:ascii="Calibri" w:hAnsi="Calibri" w:cs="Calibri"/>
          <w:sz w:val="20"/>
          <w:szCs w:val="20"/>
        </w:rPr>
        <w:t xml:space="preserve"> intraperitoneal</w:t>
      </w:r>
      <w:r w:rsidR="00182784" w:rsidRPr="00182784">
        <w:rPr>
          <w:rFonts w:ascii="Calibri" w:hAnsi="Calibri" w:cs="Calibri"/>
          <w:sz w:val="20"/>
          <w:szCs w:val="20"/>
        </w:rPr>
        <w:t xml:space="preserve"> × 5 days), resveratrol (100 mg/kg</w:t>
      </w:r>
      <w:r w:rsidR="00A1473B">
        <w:rPr>
          <w:rFonts w:ascii="Calibri" w:hAnsi="Calibri" w:cs="Calibri"/>
          <w:sz w:val="20"/>
          <w:szCs w:val="20"/>
        </w:rPr>
        <w:t xml:space="preserve"> oral</w:t>
      </w:r>
      <w:r w:rsidR="00182784" w:rsidRPr="00182784">
        <w:rPr>
          <w:rFonts w:ascii="Calibri" w:hAnsi="Calibri" w:cs="Calibri"/>
          <w:sz w:val="20"/>
          <w:szCs w:val="20"/>
        </w:rPr>
        <w:t xml:space="preserve"> × 30 days), and curcumin (60 mg/kg </w:t>
      </w:r>
      <w:r w:rsidR="00A1473B">
        <w:rPr>
          <w:rFonts w:ascii="Calibri" w:hAnsi="Calibri" w:cs="Calibri"/>
          <w:sz w:val="20"/>
          <w:szCs w:val="20"/>
        </w:rPr>
        <w:t>oral</w:t>
      </w:r>
      <w:r w:rsidR="00182784" w:rsidRPr="00182784">
        <w:rPr>
          <w:rFonts w:ascii="Calibri" w:hAnsi="Calibri" w:cs="Calibri"/>
          <w:sz w:val="20"/>
          <w:szCs w:val="20"/>
        </w:rPr>
        <w:t xml:space="preserve"> × 30 days). Brain homogenates were analyzed for α-synuclein and TNF-α using ELISA. Data were analyzed with one-way ANOVA, considering p &lt; 0.05 significant.</w:t>
      </w:r>
    </w:p>
    <w:p w14:paraId="0608000B" w14:textId="77777777" w:rsidR="00182784" w:rsidRDefault="00711813" w:rsidP="00711813">
      <w:pPr>
        <w:jc w:val="both"/>
        <w:rPr>
          <w:rFonts w:ascii="Calibri" w:hAnsi="Calibri" w:cs="Calibri"/>
          <w:b/>
          <w:bCs/>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182784" w:rsidRPr="00182784">
        <w:rPr>
          <w:rFonts w:ascii="Calibri" w:hAnsi="Calibri" w:cs="Calibri"/>
          <w:sz w:val="20"/>
          <w:szCs w:val="20"/>
        </w:rPr>
        <w:t>MPTP significantly elevated α-synuclein and TNF-α levels (</w:t>
      </w:r>
      <w:proofErr w:type="spellStart"/>
      <w:r w:rsidR="00182784" w:rsidRPr="00182784">
        <w:rPr>
          <w:rFonts w:ascii="Calibri" w:hAnsi="Calibri" w:cs="Calibri"/>
          <w:sz w:val="20"/>
          <w:szCs w:val="20"/>
        </w:rPr>
        <w:t>Emamzadeh</w:t>
      </w:r>
      <w:proofErr w:type="spellEnd"/>
      <w:r w:rsidR="00182784" w:rsidRPr="00182784">
        <w:rPr>
          <w:rFonts w:ascii="Calibri" w:hAnsi="Calibri" w:cs="Calibri"/>
          <w:sz w:val="20"/>
          <w:szCs w:val="20"/>
        </w:rPr>
        <w:t xml:space="preserve"> &amp; </w:t>
      </w:r>
      <w:proofErr w:type="spellStart"/>
      <w:r w:rsidR="00182784" w:rsidRPr="00182784">
        <w:rPr>
          <w:rFonts w:ascii="Calibri" w:hAnsi="Calibri" w:cs="Calibri"/>
          <w:sz w:val="20"/>
          <w:szCs w:val="20"/>
        </w:rPr>
        <w:t>Surguchov</w:t>
      </w:r>
      <w:proofErr w:type="spellEnd"/>
      <w:r w:rsidR="00182784" w:rsidRPr="00182784">
        <w:rPr>
          <w:rFonts w:ascii="Calibri" w:hAnsi="Calibri" w:cs="Calibri"/>
          <w:sz w:val="20"/>
          <w:szCs w:val="20"/>
        </w:rPr>
        <w:t>, 2018). Resveratrol and curcumin both reduced these biomarkers. Resveratrol showed stronger suppression of α-synuclein, while curcumin lowered TNF-α more effectively.</w:t>
      </w:r>
      <w:r w:rsidR="00182784" w:rsidRPr="00182784">
        <w:rPr>
          <w:rFonts w:ascii="Calibri" w:hAnsi="Calibri" w:cs="Calibri"/>
          <w:b/>
          <w:bCs/>
          <w:sz w:val="20"/>
          <w:szCs w:val="20"/>
          <w:lang w:val="en-AU"/>
        </w:rPr>
        <w:t xml:space="preserve"> </w:t>
      </w:r>
    </w:p>
    <w:p w14:paraId="7BF66096" w14:textId="77777777" w:rsidR="00182784" w:rsidRDefault="00711813" w:rsidP="00711813">
      <w:pPr>
        <w:jc w:val="both"/>
        <w:rPr>
          <w:rFonts w:ascii="Calibri" w:hAnsi="Calibri" w:cs="Calibri"/>
          <w:sz w:val="20"/>
          <w:szCs w:val="20"/>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00182784" w:rsidRPr="00182784">
        <w:rPr>
          <w:rFonts w:ascii="Calibri" w:hAnsi="Calibri" w:cs="Calibri"/>
          <w:sz w:val="20"/>
          <w:szCs w:val="20"/>
        </w:rPr>
        <w:t>Both agents showed neuroprotection but differed in their primary effects, with resveratrol acting more on protein aggregation and curcumin on inflammation. These results suggest complementary mechanisms and support future evaluation of combination therapy for disease modification in PD.</w:t>
      </w:r>
    </w:p>
    <w:p w14:paraId="35E45C58" w14:textId="77777777" w:rsidR="00182784" w:rsidRDefault="00182784" w:rsidP="00711813">
      <w:pPr>
        <w:jc w:val="both"/>
        <w:rPr>
          <w:rFonts w:ascii="Calibri" w:hAnsi="Calibri" w:cs="Calibri"/>
          <w:sz w:val="20"/>
          <w:szCs w:val="20"/>
          <w:lang w:val="en-IN"/>
        </w:rPr>
      </w:pPr>
      <w:r w:rsidRPr="00275122">
        <w:rPr>
          <w:rFonts w:ascii="Calibri" w:hAnsi="Calibri" w:cs="Calibri"/>
          <w:sz w:val="20"/>
          <w:szCs w:val="20"/>
          <w:lang w:val="en-IN"/>
        </w:rPr>
        <w:t>Choong CJ, Mochizuki H (2022) Neuropathology 42:93-103</w:t>
      </w:r>
    </w:p>
    <w:p w14:paraId="14B76D92" w14:textId="77777777" w:rsidR="00182784" w:rsidRPr="00182784" w:rsidRDefault="00182784" w:rsidP="00711813">
      <w:pPr>
        <w:jc w:val="both"/>
        <w:rPr>
          <w:rFonts w:ascii="Calibri" w:hAnsi="Calibri" w:cs="Calibri"/>
          <w:sz w:val="20"/>
          <w:szCs w:val="20"/>
          <w:lang w:val="en-IN"/>
        </w:rPr>
      </w:pPr>
      <w:proofErr w:type="spellStart"/>
      <w:r w:rsidRPr="00275122">
        <w:rPr>
          <w:rFonts w:ascii="Calibri" w:hAnsi="Calibri" w:cs="Calibri"/>
          <w:sz w:val="20"/>
          <w:szCs w:val="20"/>
          <w:lang w:val="en-IN"/>
        </w:rPr>
        <w:t>Emamzadeh</w:t>
      </w:r>
      <w:proofErr w:type="spellEnd"/>
      <w:r w:rsidRPr="00275122">
        <w:rPr>
          <w:rFonts w:ascii="Calibri" w:hAnsi="Calibri" w:cs="Calibri"/>
          <w:sz w:val="20"/>
          <w:szCs w:val="20"/>
          <w:lang w:val="en-IN"/>
        </w:rPr>
        <w:t xml:space="preserve"> FN, </w:t>
      </w:r>
      <w:proofErr w:type="spellStart"/>
      <w:r w:rsidRPr="00275122">
        <w:rPr>
          <w:rFonts w:ascii="Calibri" w:hAnsi="Calibri" w:cs="Calibri"/>
          <w:sz w:val="20"/>
          <w:szCs w:val="20"/>
          <w:lang w:val="en-IN"/>
        </w:rPr>
        <w:t>Surguchov</w:t>
      </w:r>
      <w:proofErr w:type="spellEnd"/>
      <w:r w:rsidRPr="00275122">
        <w:rPr>
          <w:rFonts w:ascii="Calibri" w:hAnsi="Calibri" w:cs="Calibri"/>
          <w:sz w:val="20"/>
          <w:szCs w:val="20"/>
          <w:lang w:val="en-IN"/>
        </w:rPr>
        <w:t xml:space="preserve"> A (2018) Front Neurosci 12:612</w:t>
      </w:r>
    </w:p>
    <w:p w14:paraId="5BF32618" w14:textId="77777777" w:rsidR="00182784" w:rsidRPr="004E5450" w:rsidRDefault="00182784" w:rsidP="00711813">
      <w:pPr>
        <w:jc w:val="both"/>
        <w:rPr>
          <w:rFonts w:ascii="Calibri" w:hAnsi="Calibri" w:cs="Calibri"/>
          <w:sz w:val="20"/>
          <w:szCs w:val="20"/>
          <w:lang w:val="en-AU"/>
        </w:rPr>
      </w:pPr>
    </w:p>
    <w:sectPr w:rsidR="00182784"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BB"/>
    <w:rsid w:val="0006030F"/>
    <w:rsid w:val="00080C2E"/>
    <w:rsid w:val="000A4FA6"/>
    <w:rsid w:val="00182784"/>
    <w:rsid w:val="002226BB"/>
    <w:rsid w:val="002272B0"/>
    <w:rsid w:val="002D7AF2"/>
    <w:rsid w:val="00300B92"/>
    <w:rsid w:val="003044E2"/>
    <w:rsid w:val="003238D9"/>
    <w:rsid w:val="00387491"/>
    <w:rsid w:val="00444224"/>
    <w:rsid w:val="00483B05"/>
    <w:rsid w:val="004E28B9"/>
    <w:rsid w:val="004E50FC"/>
    <w:rsid w:val="004E5450"/>
    <w:rsid w:val="0059609A"/>
    <w:rsid w:val="00597659"/>
    <w:rsid w:val="005D1700"/>
    <w:rsid w:val="005E48A2"/>
    <w:rsid w:val="005E62BE"/>
    <w:rsid w:val="006409B2"/>
    <w:rsid w:val="006B0DD8"/>
    <w:rsid w:val="0070795B"/>
    <w:rsid w:val="00711813"/>
    <w:rsid w:val="00724E3C"/>
    <w:rsid w:val="00743C46"/>
    <w:rsid w:val="00760B17"/>
    <w:rsid w:val="0081055E"/>
    <w:rsid w:val="00853E0E"/>
    <w:rsid w:val="00866547"/>
    <w:rsid w:val="00885303"/>
    <w:rsid w:val="008909C9"/>
    <w:rsid w:val="00947B77"/>
    <w:rsid w:val="009D5D52"/>
    <w:rsid w:val="009E2228"/>
    <w:rsid w:val="009F06D6"/>
    <w:rsid w:val="00A1473B"/>
    <w:rsid w:val="00A266B4"/>
    <w:rsid w:val="00A71DEF"/>
    <w:rsid w:val="00AE2DA6"/>
    <w:rsid w:val="00BC5FCC"/>
    <w:rsid w:val="00C132EC"/>
    <w:rsid w:val="00C60A71"/>
    <w:rsid w:val="00D16280"/>
    <w:rsid w:val="00D55F3B"/>
    <w:rsid w:val="00DA2731"/>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41DF8"/>
  <w15:chartTrackingRefBased/>
  <w15:docId w15:val="{D14CA751-F567-8642-BCE5-0C72ACDB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customStyle="1"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Rajendra Nath</cp:lastModifiedBy>
  <cp:revision>3</cp:revision>
  <cp:lastPrinted>2013-06-13T09:45:00Z</cp:lastPrinted>
  <dcterms:created xsi:type="dcterms:W3CDTF">2025-09-14T06:54:00Z</dcterms:created>
  <dcterms:modified xsi:type="dcterms:W3CDTF">2025-09-15T07:42:00Z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