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6056" w14:textId="57314E93" w:rsidR="000804B7" w:rsidRPr="004E5450" w:rsidRDefault="000804B7" w:rsidP="00711813">
      <w:pPr>
        <w:jc w:val="both"/>
        <w:rPr>
          <w:rFonts w:ascii="Calibri" w:hAnsi="Calibri" w:cs="Calibri"/>
          <w:b/>
          <w:sz w:val="20"/>
          <w:szCs w:val="20"/>
          <w:lang w:val="en-AU" w:eastAsia="ja-JP"/>
        </w:rPr>
      </w:pPr>
      <w:r>
        <w:rPr>
          <w:rFonts w:ascii="Calibri" w:hAnsi="Calibri" w:cs="Calibri" w:hint="eastAsia"/>
          <w:b/>
          <w:sz w:val="20"/>
          <w:szCs w:val="20"/>
          <w:lang w:val="en-AU" w:eastAsia="ja-JP"/>
        </w:rPr>
        <w:t>C</w:t>
      </w:r>
      <w:r w:rsidRPr="000804B7">
        <w:rPr>
          <w:rFonts w:ascii="Calibri" w:hAnsi="Calibri" w:cs="Calibri"/>
          <w:b/>
          <w:sz w:val="20"/>
          <w:szCs w:val="20"/>
          <w:lang w:val="en-AU"/>
        </w:rPr>
        <w:t>igarette smoke extract</w:t>
      </w:r>
      <w:r>
        <w:rPr>
          <w:rFonts w:ascii="Calibri" w:hAnsi="Calibri" w:cs="Calibri" w:hint="eastAsia"/>
          <w:b/>
          <w:sz w:val="20"/>
          <w:szCs w:val="20"/>
          <w:lang w:val="en-AU" w:eastAsia="ja-JP"/>
        </w:rPr>
        <w:t xml:space="preserve"> </w:t>
      </w:r>
      <w:r w:rsidRPr="000804B7">
        <w:rPr>
          <w:rFonts w:ascii="Calibri" w:hAnsi="Calibri" w:cs="Calibri"/>
          <w:b/>
          <w:sz w:val="20"/>
          <w:szCs w:val="20"/>
          <w:lang w:val="en-AU"/>
        </w:rPr>
        <w:t>of heated tobacco products</w:t>
      </w:r>
      <w:r>
        <w:rPr>
          <w:rFonts w:ascii="Calibri" w:hAnsi="Calibri" w:cs="Calibri" w:hint="eastAsia"/>
          <w:b/>
          <w:sz w:val="20"/>
          <w:szCs w:val="20"/>
          <w:lang w:val="en-AU" w:eastAsia="ja-JP"/>
        </w:rPr>
        <w:t xml:space="preserve"> induces </w:t>
      </w:r>
      <w:r w:rsidRPr="000804B7">
        <w:rPr>
          <w:rFonts w:ascii="Calibri" w:hAnsi="Calibri" w:cs="Calibri"/>
          <w:b/>
          <w:sz w:val="20"/>
          <w:szCs w:val="20"/>
          <w:lang w:val="en-AU" w:eastAsia="ja-JP"/>
        </w:rPr>
        <w:t>ferroptosis</w:t>
      </w:r>
      <w:r w:rsidR="00666B8E" w:rsidRPr="00666B8E">
        <w:t xml:space="preserve"> </w:t>
      </w:r>
      <w:r w:rsidR="00666B8E" w:rsidRPr="00666B8E">
        <w:rPr>
          <w:rFonts w:ascii="Calibri" w:hAnsi="Calibri" w:cs="Calibri"/>
          <w:b/>
          <w:sz w:val="20"/>
          <w:szCs w:val="20"/>
          <w:lang w:val="en-AU" w:eastAsia="ja-JP"/>
        </w:rPr>
        <w:t>in A7r5 cells</w:t>
      </w:r>
      <w:r>
        <w:rPr>
          <w:rFonts w:ascii="Calibri" w:hAnsi="Calibri" w:cs="Calibri" w:hint="eastAsia"/>
          <w:b/>
          <w:sz w:val="20"/>
          <w:szCs w:val="20"/>
          <w:lang w:val="en-AU" w:eastAsia="ja-JP"/>
        </w:rPr>
        <w:t>.</w:t>
      </w:r>
    </w:p>
    <w:p w14:paraId="2E56D22F" w14:textId="62FD9BC2" w:rsidR="006B12BB" w:rsidRPr="004E5450" w:rsidRDefault="006B12BB" w:rsidP="006B12BB">
      <w:pPr>
        <w:jc w:val="both"/>
        <w:rPr>
          <w:rFonts w:ascii="Calibri" w:hAnsi="Calibri" w:cs="Calibri"/>
          <w:sz w:val="20"/>
          <w:szCs w:val="20"/>
          <w:lang w:val="en-AU" w:eastAsia="ja-JP"/>
        </w:rPr>
      </w:pPr>
      <w:r w:rsidRPr="006B12BB">
        <w:rPr>
          <w:rFonts w:ascii="Calibri" w:hAnsi="Calibri" w:cs="Calibri"/>
          <w:sz w:val="20"/>
          <w:szCs w:val="20"/>
          <w:lang w:val="en-AU"/>
        </w:rPr>
        <w:t>Takahiro Horinouchi</w:t>
      </w:r>
      <w:r w:rsidRPr="006B12BB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Pr="006B12BB">
        <w:rPr>
          <w:rFonts w:ascii="Calibri" w:hAnsi="Calibri" w:cs="Calibri"/>
          <w:sz w:val="20"/>
          <w:szCs w:val="20"/>
          <w:lang w:val="en-AU"/>
        </w:rPr>
        <w:t>, Ryosuke Shinkai</w:t>
      </w:r>
      <w:r w:rsidRPr="006B12BB">
        <w:rPr>
          <w:rFonts w:ascii="Calibri" w:hAnsi="Calibri" w:cs="Calibri" w:hint="eastAsia"/>
          <w:sz w:val="20"/>
          <w:szCs w:val="20"/>
          <w:vertAlign w:val="superscript"/>
          <w:lang w:val="en-AU" w:eastAsia="ja-JP"/>
        </w:rPr>
        <w:t>1</w:t>
      </w:r>
      <w:r>
        <w:rPr>
          <w:rFonts w:ascii="Calibri" w:hAnsi="Calibri" w:cs="Calibri" w:hint="eastAsia"/>
          <w:sz w:val="20"/>
          <w:szCs w:val="20"/>
          <w:lang w:val="en-AU" w:eastAsia="ja-JP"/>
        </w:rPr>
        <w:t>,</w:t>
      </w:r>
      <w:r w:rsidRPr="006B12BB">
        <w:rPr>
          <w:rFonts w:ascii="Calibri" w:hAnsi="Calibri" w:cs="Calibri"/>
          <w:sz w:val="20"/>
          <w:szCs w:val="20"/>
          <w:lang w:val="en-AU"/>
        </w:rPr>
        <w:t xml:space="preserve"> Yuichi Mazaki</w:t>
      </w:r>
      <w:r w:rsidRPr="006B12BB">
        <w:rPr>
          <w:rFonts w:ascii="Calibri" w:hAnsi="Calibri" w:cs="Calibri" w:hint="eastAsia"/>
          <w:sz w:val="20"/>
          <w:szCs w:val="20"/>
          <w:vertAlign w:val="superscript"/>
          <w:lang w:val="en-AU" w:eastAsia="ja-JP"/>
        </w:rPr>
        <w:t>2</w:t>
      </w:r>
      <w:r w:rsidRPr="006B12BB">
        <w:rPr>
          <w:rFonts w:ascii="Calibri" w:hAnsi="Calibri" w:cs="Calibri"/>
          <w:sz w:val="20"/>
          <w:szCs w:val="20"/>
          <w:lang w:val="en-AU"/>
        </w:rPr>
        <w:t>, Soichi Miwa</w:t>
      </w:r>
      <w:r w:rsidRPr="006B12BB">
        <w:rPr>
          <w:rFonts w:ascii="Calibri" w:hAnsi="Calibri" w:cs="Calibri" w:hint="eastAsia"/>
          <w:sz w:val="20"/>
          <w:szCs w:val="20"/>
          <w:vertAlign w:val="superscript"/>
          <w:lang w:val="en-AU" w:eastAsia="ja-JP"/>
        </w:rPr>
        <w:t>3</w:t>
      </w:r>
      <w:r>
        <w:rPr>
          <w:rFonts w:ascii="Calibri" w:hAnsi="Calibri" w:cs="Calibri" w:hint="eastAsia"/>
          <w:sz w:val="20"/>
          <w:szCs w:val="20"/>
          <w:lang w:val="en-AU" w:eastAsia="ja-JP"/>
        </w:rPr>
        <w:t xml:space="preserve">. </w:t>
      </w:r>
      <w:r w:rsidRPr="006B12BB">
        <w:rPr>
          <w:rFonts w:ascii="Calibri" w:hAnsi="Calibri" w:cs="Calibri"/>
          <w:sz w:val="20"/>
          <w:szCs w:val="20"/>
          <w:lang w:val="en-AU" w:eastAsia="ja-JP"/>
        </w:rPr>
        <w:t>Department of Pharmaceutical Sciences,</w:t>
      </w:r>
      <w:r>
        <w:rPr>
          <w:rFonts w:ascii="Calibri" w:hAnsi="Calibri" w:cs="Calibri" w:hint="eastAsia"/>
          <w:sz w:val="20"/>
          <w:szCs w:val="20"/>
          <w:lang w:val="en-AU" w:eastAsia="ja-JP"/>
        </w:rPr>
        <w:t xml:space="preserve"> </w:t>
      </w:r>
      <w:r w:rsidRPr="006B12BB">
        <w:rPr>
          <w:rFonts w:ascii="Calibri" w:hAnsi="Calibri" w:cs="Calibri"/>
          <w:sz w:val="20"/>
          <w:szCs w:val="20"/>
          <w:lang w:val="en-AU" w:eastAsia="ja-JP"/>
        </w:rPr>
        <w:t>School of Pharmacy at Narita,</w:t>
      </w:r>
      <w:r>
        <w:rPr>
          <w:rFonts w:ascii="Calibri" w:hAnsi="Calibri" w:cs="Calibri" w:hint="eastAsia"/>
          <w:sz w:val="20"/>
          <w:szCs w:val="20"/>
          <w:lang w:val="en-AU" w:eastAsia="ja-JP"/>
        </w:rPr>
        <w:t xml:space="preserve"> </w:t>
      </w:r>
      <w:r w:rsidRPr="006B12BB">
        <w:rPr>
          <w:rFonts w:ascii="Calibri" w:hAnsi="Calibri" w:cs="Calibri"/>
          <w:sz w:val="20"/>
          <w:szCs w:val="20"/>
          <w:lang w:val="en-AU" w:eastAsia="ja-JP"/>
        </w:rPr>
        <w:t>International University of Health and Welfare</w:t>
      </w:r>
      <w:r w:rsidRPr="006B12BB">
        <w:rPr>
          <w:rFonts w:ascii="Calibri" w:hAnsi="Calibri" w:cs="Calibri" w:hint="eastAsia"/>
          <w:sz w:val="20"/>
          <w:szCs w:val="20"/>
          <w:vertAlign w:val="superscript"/>
          <w:lang w:val="en-AU" w:eastAsia="ja-JP"/>
        </w:rPr>
        <w:t>1</w:t>
      </w:r>
      <w:r>
        <w:rPr>
          <w:rFonts w:ascii="Calibri" w:hAnsi="Calibri" w:cs="Calibri" w:hint="eastAsia"/>
          <w:sz w:val="20"/>
          <w:szCs w:val="20"/>
          <w:lang w:val="en-AU" w:eastAsia="ja-JP"/>
        </w:rPr>
        <w:t xml:space="preserve">, Narita, Chiba, Japan; </w:t>
      </w:r>
      <w:r w:rsidRPr="006B12BB">
        <w:rPr>
          <w:rFonts w:ascii="Calibri" w:hAnsi="Calibri" w:cs="Calibri"/>
          <w:sz w:val="20"/>
          <w:szCs w:val="20"/>
          <w:lang w:val="en-AU" w:eastAsia="ja-JP"/>
        </w:rPr>
        <w:t>Department of Cellular Pharmacology, Graduate School of Medicine, Hokkaido University</w:t>
      </w:r>
      <w:r w:rsidRPr="000804B7">
        <w:rPr>
          <w:rFonts w:ascii="Calibri" w:hAnsi="Calibri" w:cs="Calibri" w:hint="eastAsia"/>
          <w:sz w:val="20"/>
          <w:szCs w:val="20"/>
          <w:vertAlign w:val="superscript"/>
          <w:lang w:val="en-AU" w:eastAsia="ja-JP"/>
        </w:rPr>
        <w:t>2</w:t>
      </w:r>
      <w:r>
        <w:rPr>
          <w:rFonts w:ascii="Calibri" w:hAnsi="Calibri" w:cs="Calibri" w:hint="eastAsia"/>
          <w:sz w:val="20"/>
          <w:szCs w:val="20"/>
          <w:lang w:val="en-AU" w:eastAsia="ja-JP"/>
        </w:rPr>
        <w:t xml:space="preserve">, Sapporo, Hokkaido, Japan; </w:t>
      </w:r>
      <w:r w:rsidRPr="006B12BB">
        <w:rPr>
          <w:rFonts w:ascii="Calibri" w:hAnsi="Calibri" w:cs="Calibri"/>
          <w:sz w:val="20"/>
          <w:szCs w:val="20"/>
          <w:lang w:val="en-AU" w:eastAsia="ja-JP"/>
        </w:rPr>
        <w:t>Toyooka General Hospital</w:t>
      </w:r>
      <w:r w:rsidRPr="006B12BB">
        <w:rPr>
          <w:rFonts w:ascii="Calibri" w:hAnsi="Calibri" w:cs="Calibri" w:hint="eastAsia"/>
          <w:sz w:val="20"/>
          <w:szCs w:val="20"/>
          <w:vertAlign w:val="superscript"/>
          <w:lang w:val="en-AU" w:eastAsia="ja-JP"/>
        </w:rPr>
        <w:t>3</w:t>
      </w:r>
      <w:r>
        <w:rPr>
          <w:rFonts w:ascii="Calibri" w:hAnsi="Calibri" w:cs="Calibri" w:hint="eastAsia"/>
          <w:sz w:val="20"/>
          <w:szCs w:val="20"/>
          <w:lang w:val="en-AU" w:eastAsia="ja-JP"/>
        </w:rPr>
        <w:t>, Toyooka, Hyogo, Japan.</w:t>
      </w:r>
    </w:p>
    <w:p w14:paraId="517A5A99" w14:textId="364D5FBB" w:rsidR="00711813" w:rsidRPr="004E5450" w:rsidRDefault="00FA59CC" w:rsidP="00711813">
      <w:pPr>
        <w:pStyle w:val="Default"/>
        <w:jc w:val="both"/>
        <w:rPr>
          <w:color w:val="auto"/>
          <w:sz w:val="20"/>
          <w:szCs w:val="20"/>
          <w:lang w:val="en-AU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3ABFD6" wp14:editId="056A1FB5">
                <wp:simplePos x="0" y="0"/>
                <wp:positionH relativeFrom="column">
                  <wp:posOffset>3652520</wp:posOffset>
                </wp:positionH>
                <wp:positionV relativeFrom="paragraph">
                  <wp:posOffset>52705</wp:posOffset>
                </wp:positionV>
                <wp:extent cx="2457450" cy="1757680"/>
                <wp:effectExtent l="0" t="0" r="0" b="0"/>
                <wp:wrapSquare wrapText="bothSides"/>
                <wp:docPr id="20439104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75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E0FCE" w14:textId="4265F99E" w:rsidR="003E5997" w:rsidRDefault="00452330" w:rsidP="006213F6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A5C87B" wp14:editId="088BF298">
                                  <wp:extent cx="2298700" cy="1724667"/>
                                  <wp:effectExtent l="0" t="0" r="6350" b="8890"/>
                                  <wp:docPr id="398789246" name="図 3" descr="ダイアグラム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8789246" name="図 3" descr="ダイアグラム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0594" cy="17335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ABF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7.6pt;margin-top:4.15pt;width:193.5pt;height:13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" stroked="f">
                <v:textbox>
                  <w:txbxContent>
                    <w:p w14:paraId="4F2E0FCE" w14:textId="4265F99E" w:rsidR="003E5997" w:rsidRDefault="00452330" w:rsidP="006213F6">
                      <w:pPr>
                        <w:jc w:val="center"/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A5C87B" wp14:editId="088BF298">
                            <wp:extent cx="2298700" cy="1724667"/>
                            <wp:effectExtent l="0" t="0" r="6350" b="8890"/>
                            <wp:docPr id="398789246" name="図 3" descr="ダイアグラム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8789246" name="図 3" descr="ダイアグラム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0594" cy="1733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1813" w:rsidRPr="004E5450">
        <w:rPr>
          <w:i/>
          <w:color w:val="auto"/>
          <w:sz w:val="20"/>
          <w:szCs w:val="20"/>
        </w:rPr>
        <w:t xml:space="preserve"> </w:t>
      </w:r>
    </w:p>
    <w:p w14:paraId="5DF290F2" w14:textId="5B9C2802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Introduction.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0804B7" w:rsidRPr="000804B7">
        <w:rPr>
          <w:rFonts w:ascii="Calibri" w:hAnsi="Calibri" w:cs="Calibri"/>
          <w:sz w:val="20"/>
          <w:szCs w:val="20"/>
          <w:lang w:val="en-AU"/>
        </w:rPr>
        <w:t>Heated tobacco products (HTPs) are marketed worldwide as less harmful alternatives to combustible cigarettes</w:t>
      </w:r>
      <w:r w:rsidR="004E61C7">
        <w:rPr>
          <w:rFonts w:ascii="Calibri" w:hAnsi="Calibri" w:cs="Calibri" w:hint="eastAsia"/>
          <w:sz w:val="20"/>
          <w:szCs w:val="20"/>
          <w:lang w:val="en-AU" w:eastAsia="ja-JP"/>
        </w:rPr>
        <w:t>.</w:t>
      </w:r>
      <w:r w:rsidR="000804B7" w:rsidRPr="000804B7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4E61C7">
        <w:rPr>
          <w:rFonts w:ascii="Calibri" w:hAnsi="Calibri" w:cs="Calibri" w:hint="eastAsia"/>
          <w:sz w:val="20"/>
          <w:szCs w:val="20"/>
          <w:lang w:val="en-AU" w:eastAsia="ja-JP"/>
        </w:rPr>
        <w:t>H</w:t>
      </w:r>
      <w:r w:rsidR="000804B7" w:rsidRPr="000804B7">
        <w:rPr>
          <w:rFonts w:ascii="Calibri" w:hAnsi="Calibri" w:cs="Calibri"/>
          <w:sz w:val="20"/>
          <w:szCs w:val="20"/>
          <w:lang w:val="en-AU"/>
        </w:rPr>
        <w:t xml:space="preserve">owever, </w:t>
      </w:r>
      <w:r w:rsidR="004E61C7">
        <w:rPr>
          <w:rFonts w:ascii="Calibri" w:hAnsi="Calibri" w:cs="Calibri" w:hint="eastAsia"/>
          <w:sz w:val="20"/>
          <w:szCs w:val="20"/>
          <w:lang w:val="en-AU" w:eastAsia="ja-JP"/>
        </w:rPr>
        <w:t xml:space="preserve">the </w:t>
      </w:r>
      <w:r w:rsidR="004E61C7" w:rsidRPr="004E61C7">
        <w:rPr>
          <w:rFonts w:ascii="Calibri" w:hAnsi="Calibri" w:cs="Calibri"/>
          <w:sz w:val="20"/>
          <w:szCs w:val="20"/>
          <w:lang w:val="en-AU"/>
        </w:rPr>
        <w:t>cytotoxicity</w:t>
      </w:r>
      <w:r w:rsidR="004E61C7">
        <w:rPr>
          <w:rFonts w:ascii="Calibri" w:hAnsi="Calibri" w:cs="Calibri" w:hint="eastAsia"/>
          <w:sz w:val="20"/>
          <w:szCs w:val="20"/>
          <w:lang w:val="en-AU" w:eastAsia="ja-JP"/>
        </w:rPr>
        <w:t xml:space="preserve"> of HTPs</w:t>
      </w:r>
      <w:r w:rsidR="000804B7" w:rsidRPr="000804B7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4E61C7">
        <w:rPr>
          <w:rFonts w:ascii="Calibri" w:hAnsi="Calibri" w:cs="Calibri" w:hint="eastAsia"/>
          <w:sz w:val="20"/>
          <w:szCs w:val="20"/>
          <w:lang w:val="en-AU" w:eastAsia="ja-JP"/>
        </w:rPr>
        <w:t>to</w:t>
      </w:r>
      <w:r w:rsidR="000804B7" w:rsidRPr="000804B7">
        <w:rPr>
          <w:rFonts w:ascii="Calibri" w:hAnsi="Calibri" w:cs="Calibri"/>
          <w:sz w:val="20"/>
          <w:szCs w:val="20"/>
          <w:lang w:val="en-AU"/>
        </w:rPr>
        <w:t xml:space="preserve"> vascular smooth muscle cells </w:t>
      </w:r>
      <w:r w:rsidR="00FA59CC">
        <w:rPr>
          <w:rFonts w:ascii="Calibri" w:hAnsi="Calibri" w:cs="Calibri" w:hint="eastAsia"/>
          <w:sz w:val="20"/>
          <w:szCs w:val="20"/>
          <w:lang w:val="en-AU" w:eastAsia="ja-JP"/>
        </w:rPr>
        <w:t>is</w:t>
      </w:r>
      <w:r w:rsidR="000804B7" w:rsidRPr="000804B7">
        <w:rPr>
          <w:rFonts w:ascii="Calibri" w:hAnsi="Calibri" w:cs="Calibri"/>
          <w:sz w:val="20"/>
          <w:szCs w:val="20"/>
          <w:lang w:val="en-AU"/>
        </w:rPr>
        <w:t xml:space="preserve"> poorly understood.</w:t>
      </w:r>
    </w:p>
    <w:p w14:paraId="72FC4642" w14:textId="4075CB49" w:rsidR="00273A3F" w:rsidRDefault="00711813" w:rsidP="00273A3F">
      <w:pPr>
        <w:tabs>
          <w:tab w:val="left" w:pos="1213"/>
        </w:tabs>
        <w:jc w:val="both"/>
        <w:rPr>
          <w:rFonts w:ascii="Calibri" w:hAnsi="Calibri" w:cs="Calibri"/>
          <w:sz w:val="20"/>
          <w:szCs w:val="20"/>
          <w:lang w:val="en-AU" w:eastAsia="ja-JP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Aims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273A3F">
        <w:rPr>
          <w:rFonts w:ascii="Calibri" w:hAnsi="Calibri" w:cs="Calibri" w:hint="eastAsia"/>
          <w:sz w:val="20"/>
          <w:szCs w:val="20"/>
          <w:lang w:val="en-AU" w:eastAsia="ja-JP"/>
        </w:rPr>
        <w:t>The aim of this study is to clarify the m</w:t>
      </w:r>
      <w:r w:rsidR="00273A3F" w:rsidRPr="00273A3F">
        <w:rPr>
          <w:rFonts w:ascii="Calibri" w:hAnsi="Calibri" w:cs="Calibri"/>
          <w:sz w:val="20"/>
          <w:szCs w:val="20"/>
          <w:lang w:val="en-AU" w:eastAsia="ja-JP"/>
        </w:rPr>
        <w:t>echanism of cytotoxicity</w:t>
      </w:r>
      <w:r w:rsidR="00273A3F">
        <w:rPr>
          <w:rFonts w:ascii="Calibri" w:hAnsi="Calibri" w:cs="Calibri" w:hint="eastAsia"/>
          <w:sz w:val="20"/>
          <w:szCs w:val="20"/>
          <w:lang w:val="en-AU" w:eastAsia="ja-JP"/>
        </w:rPr>
        <w:t xml:space="preserve"> induced by </w:t>
      </w:r>
      <w:r w:rsidR="00273A3F" w:rsidRPr="00273A3F">
        <w:rPr>
          <w:rFonts w:ascii="Calibri" w:hAnsi="Calibri" w:cs="Calibri"/>
          <w:sz w:val="20"/>
          <w:szCs w:val="20"/>
          <w:lang w:val="en-AU" w:eastAsia="ja-JP"/>
        </w:rPr>
        <w:t xml:space="preserve">the cigarette smoke extract (CSE) of </w:t>
      </w:r>
      <w:r w:rsidR="00273A3F">
        <w:rPr>
          <w:rFonts w:ascii="Calibri" w:hAnsi="Calibri" w:cs="Calibri" w:hint="eastAsia"/>
          <w:sz w:val="20"/>
          <w:szCs w:val="20"/>
          <w:lang w:val="en-AU" w:eastAsia="ja-JP"/>
        </w:rPr>
        <w:t xml:space="preserve">HTPs in </w:t>
      </w:r>
      <w:r w:rsidR="00273A3F" w:rsidRPr="00273A3F">
        <w:rPr>
          <w:rFonts w:ascii="Calibri" w:hAnsi="Calibri" w:cs="Calibri"/>
          <w:sz w:val="20"/>
          <w:szCs w:val="20"/>
          <w:lang w:val="en-AU"/>
        </w:rPr>
        <w:t>vascular smooth muscle A7r5 cells</w:t>
      </w:r>
      <w:r w:rsidR="00273A3F">
        <w:rPr>
          <w:rFonts w:ascii="Calibri" w:hAnsi="Calibri" w:cs="Calibri" w:hint="eastAsia"/>
          <w:sz w:val="20"/>
          <w:szCs w:val="20"/>
          <w:lang w:val="en-AU" w:eastAsia="ja-JP"/>
        </w:rPr>
        <w:t>.</w:t>
      </w:r>
    </w:p>
    <w:p w14:paraId="1190D523" w14:textId="7F21CD78" w:rsidR="00273A3F" w:rsidRDefault="00711813" w:rsidP="00711813">
      <w:pPr>
        <w:jc w:val="both"/>
        <w:rPr>
          <w:rFonts w:ascii="Calibri" w:hAnsi="Calibri" w:cs="Calibri"/>
          <w:sz w:val="20"/>
          <w:szCs w:val="20"/>
          <w:lang w:val="en-AU" w:eastAsia="ja-JP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Methods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273A3F" w:rsidRPr="00273A3F">
        <w:rPr>
          <w:rFonts w:ascii="Calibri" w:hAnsi="Calibri" w:cs="Calibri"/>
          <w:sz w:val="20"/>
          <w:szCs w:val="20"/>
          <w:lang w:val="en-AU"/>
        </w:rPr>
        <w:t xml:space="preserve">The mainstream smoke of HTPs was generated according to </w:t>
      </w:r>
      <w:r w:rsidR="00F90B74" w:rsidRPr="00F90B74">
        <w:rPr>
          <w:rFonts w:ascii="Calibri" w:hAnsi="Calibri" w:cs="Calibri"/>
          <w:sz w:val="20"/>
          <w:szCs w:val="20"/>
          <w:lang w:val="en-AU"/>
        </w:rPr>
        <w:t>the HTP-259-CTR smoking regime</w:t>
      </w:r>
      <w:r w:rsidR="00F90B74" w:rsidRPr="00F90B74">
        <w:rPr>
          <w:rFonts w:ascii="Calibri" w:hAnsi="Calibri" w:cs="Calibri" w:hint="eastAsia"/>
          <w:sz w:val="20"/>
          <w:szCs w:val="20"/>
          <w:lang w:val="en-AU"/>
        </w:rPr>
        <w:t xml:space="preserve"> </w:t>
      </w:r>
      <w:r w:rsidR="00F90B74">
        <w:rPr>
          <w:rFonts w:ascii="Calibri" w:hAnsi="Calibri" w:cs="Calibri"/>
          <w:sz w:val="20"/>
          <w:szCs w:val="20"/>
          <w:lang w:val="en-AU" w:eastAsia="ja-JP"/>
        </w:rPr>
        <w:t>using</w:t>
      </w:r>
      <w:r w:rsidR="00F90B74">
        <w:rPr>
          <w:rFonts w:ascii="Calibri" w:hAnsi="Calibri" w:cs="Calibri" w:hint="eastAsia"/>
          <w:sz w:val="20"/>
          <w:szCs w:val="20"/>
          <w:lang w:val="en-AU" w:eastAsia="ja-JP"/>
        </w:rPr>
        <w:t xml:space="preserve"> </w:t>
      </w:r>
      <w:r w:rsidR="00F90B74" w:rsidRPr="00F90B74">
        <w:rPr>
          <w:rFonts w:ascii="Calibri" w:hAnsi="Calibri" w:cs="Calibri"/>
          <w:sz w:val="20"/>
          <w:szCs w:val="20"/>
          <w:lang w:val="en-AU" w:eastAsia="ja-JP"/>
        </w:rPr>
        <w:t>analytical vaping machine LM5E</w:t>
      </w:r>
      <w:r w:rsidR="00F90B74">
        <w:rPr>
          <w:rFonts w:ascii="Calibri" w:hAnsi="Calibri" w:cs="Calibri" w:hint="eastAsia"/>
          <w:sz w:val="20"/>
          <w:szCs w:val="20"/>
          <w:lang w:val="en-AU" w:eastAsia="ja-JP"/>
        </w:rPr>
        <w:t xml:space="preserve"> (</w:t>
      </w:r>
      <w:r w:rsidR="00F90B74" w:rsidRPr="00F90B74">
        <w:rPr>
          <w:rFonts w:ascii="Calibri" w:hAnsi="Calibri" w:cs="Calibri"/>
          <w:sz w:val="20"/>
          <w:szCs w:val="20"/>
          <w:lang w:val="en-AU" w:eastAsia="ja-JP"/>
        </w:rPr>
        <w:t>Körber Technologies GmbH</w:t>
      </w:r>
      <w:r w:rsidR="00F90B74">
        <w:rPr>
          <w:rFonts w:ascii="Calibri" w:hAnsi="Calibri" w:cs="Calibri" w:hint="eastAsia"/>
          <w:sz w:val="20"/>
          <w:szCs w:val="20"/>
          <w:lang w:val="en-AU" w:eastAsia="ja-JP"/>
        </w:rPr>
        <w:t>).</w:t>
      </w:r>
      <w:r w:rsidR="00F90B74" w:rsidRPr="00F90B74">
        <w:t xml:space="preserve"> </w:t>
      </w:r>
      <w:r w:rsidR="0004661B" w:rsidRPr="0004661B">
        <w:rPr>
          <w:rFonts w:ascii="Calibri" w:hAnsi="Calibri" w:cs="Calibri"/>
          <w:sz w:val="20"/>
          <w:szCs w:val="20"/>
          <w:lang w:val="en-AU"/>
        </w:rPr>
        <w:t>The gas phase of 80 puffs was bubbled into 5 mL of ice-cold FBS-free</w:t>
      </w:r>
      <w:r w:rsidR="0004661B">
        <w:rPr>
          <w:rFonts w:ascii="Calibri" w:hAnsi="Calibri" w:cs="Calibri" w:hint="eastAsia"/>
          <w:sz w:val="20"/>
          <w:szCs w:val="20"/>
          <w:lang w:val="en-AU" w:eastAsia="ja-JP"/>
        </w:rPr>
        <w:t xml:space="preserve"> DMEM to </w:t>
      </w:r>
      <w:r w:rsidR="0004661B" w:rsidRPr="0004661B">
        <w:rPr>
          <w:rFonts w:ascii="Calibri" w:hAnsi="Calibri" w:cs="Calibri"/>
          <w:sz w:val="20"/>
          <w:szCs w:val="20"/>
          <w:lang w:val="en-AU"/>
        </w:rPr>
        <w:t>prepare</w:t>
      </w:r>
      <w:r w:rsidR="0004661B">
        <w:rPr>
          <w:rFonts w:ascii="Calibri" w:hAnsi="Calibri" w:cs="Calibri" w:hint="eastAsia"/>
          <w:sz w:val="20"/>
          <w:szCs w:val="20"/>
          <w:lang w:val="en-AU" w:eastAsia="ja-JP"/>
        </w:rPr>
        <w:t xml:space="preserve"> 100% CSE. </w:t>
      </w:r>
      <w:r w:rsidR="00273A3F" w:rsidRPr="00273A3F">
        <w:rPr>
          <w:rFonts w:ascii="Calibri" w:hAnsi="Calibri" w:cs="Calibri"/>
          <w:sz w:val="20"/>
          <w:szCs w:val="20"/>
          <w:lang w:val="en-AU"/>
        </w:rPr>
        <w:t xml:space="preserve">The cytotoxicity of CSE to rat vascular smooth muscle A7r5 cells was evaluated by measuring mitochondrial </w:t>
      </w:r>
      <w:proofErr w:type="gramStart"/>
      <w:r w:rsidR="00273A3F" w:rsidRPr="00273A3F">
        <w:rPr>
          <w:rFonts w:ascii="Calibri" w:hAnsi="Calibri" w:cs="Calibri"/>
          <w:sz w:val="20"/>
          <w:szCs w:val="20"/>
          <w:lang w:val="en-AU"/>
        </w:rPr>
        <w:t xml:space="preserve">metabolic </w:t>
      </w:r>
      <w:r w:rsidR="00FA59CC">
        <w:rPr>
          <w:rFonts w:ascii="Calibri" w:hAnsi="Calibri" w:cs="Calibri" w:hint="eastAsia"/>
          <w:sz w:val="20"/>
          <w:szCs w:val="20"/>
          <w:lang w:val="en-AU" w:eastAsia="ja-JP"/>
        </w:rPr>
        <w:t xml:space="preserve"> </w:t>
      </w:r>
      <w:r w:rsidR="00273A3F" w:rsidRPr="00273A3F">
        <w:rPr>
          <w:rFonts w:ascii="Calibri" w:hAnsi="Calibri" w:cs="Calibri"/>
          <w:sz w:val="20"/>
          <w:szCs w:val="20"/>
          <w:lang w:val="en-AU"/>
        </w:rPr>
        <w:t>activity</w:t>
      </w:r>
      <w:proofErr w:type="gramEnd"/>
      <w:r w:rsidR="00273A3F" w:rsidRPr="00273A3F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FA59CC">
        <w:rPr>
          <w:rFonts w:ascii="Calibri" w:hAnsi="Calibri" w:cs="Calibri" w:hint="eastAsia"/>
          <w:sz w:val="20"/>
          <w:szCs w:val="20"/>
          <w:lang w:val="en-AU" w:eastAsia="ja-JP"/>
        </w:rPr>
        <w:t>(as MTS reduction</w:t>
      </w:r>
      <w:r w:rsidR="00FA59CC" w:rsidRPr="00FA59CC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FA59CC" w:rsidRPr="00273A3F">
        <w:rPr>
          <w:rFonts w:ascii="Calibri" w:hAnsi="Calibri" w:cs="Calibri"/>
          <w:sz w:val="20"/>
          <w:szCs w:val="20"/>
          <w:lang w:val="en-AU"/>
        </w:rPr>
        <w:t>activity</w:t>
      </w:r>
      <w:r w:rsidR="00FA59CC">
        <w:rPr>
          <w:rFonts w:ascii="Calibri" w:hAnsi="Calibri" w:cs="Calibri" w:hint="eastAsia"/>
          <w:sz w:val="20"/>
          <w:szCs w:val="20"/>
          <w:lang w:val="en-AU" w:eastAsia="ja-JP"/>
        </w:rPr>
        <w:t xml:space="preserve">) </w:t>
      </w:r>
      <w:r w:rsidR="00273A3F" w:rsidRPr="00273A3F">
        <w:rPr>
          <w:rFonts w:ascii="Calibri" w:hAnsi="Calibri" w:cs="Calibri"/>
          <w:sz w:val="20"/>
          <w:szCs w:val="20"/>
          <w:lang w:val="en-AU"/>
        </w:rPr>
        <w:t>and</w:t>
      </w:r>
      <w:r w:rsidR="00B7665E" w:rsidRPr="00B7665E">
        <w:t xml:space="preserve"> </w:t>
      </w:r>
      <w:r w:rsidR="00B7665E" w:rsidRPr="00B7665E">
        <w:rPr>
          <w:rFonts w:ascii="Calibri" w:hAnsi="Calibri" w:cs="Calibri"/>
          <w:sz w:val="20"/>
          <w:szCs w:val="20"/>
          <w:lang w:val="en-AU"/>
        </w:rPr>
        <w:t>leakage of the intracellular lactate dehydrogenase (LDH)</w:t>
      </w:r>
      <w:r w:rsidR="00273A3F" w:rsidRPr="00273A3F">
        <w:rPr>
          <w:rFonts w:ascii="Calibri" w:hAnsi="Calibri" w:cs="Calibri"/>
          <w:sz w:val="20"/>
          <w:szCs w:val="20"/>
          <w:lang w:val="en-AU"/>
        </w:rPr>
        <w:t>.</w:t>
      </w:r>
    </w:p>
    <w:p w14:paraId="4A645A61" w14:textId="3671402F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 w:eastAsia="ja-JP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Results.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04661B">
        <w:rPr>
          <w:rFonts w:ascii="Calibri" w:hAnsi="Calibri" w:cs="Calibri" w:hint="eastAsia"/>
          <w:sz w:val="20"/>
          <w:szCs w:val="20"/>
          <w:lang w:val="en-AU" w:eastAsia="ja-JP"/>
        </w:rPr>
        <w:t xml:space="preserve">CSE </w:t>
      </w:r>
      <w:r w:rsidR="0004661B">
        <w:rPr>
          <w:rFonts w:ascii="Calibri" w:hAnsi="Calibri" w:cs="Calibri"/>
          <w:sz w:val="20"/>
          <w:szCs w:val="20"/>
          <w:lang w:val="en-AU" w:eastAsia="ja-JP"/>
        </w:rPr>
        <w:t>an</w:t>
      </w:r>
      <w:r w:rsidR="0004661B">
        <w:rPr>
          <w:rFonts w:ascii="Calibri" w:hAnsi="Calibri" w:cs="Calibri" w:hint="eastAsia"/>
          <w:sz w:val="20"/>
          <w:szCs w:val="20"/>
          <w:lang w:val="en-AU" w:eastAsia="ja-JP"/>
        </w:rPr>
        <w:t xml:space="preserve">d </w:t>
      </w:r>
      <w:proofErr w:type="spellStart"/>
      <w:r w:rsidR="0004661B" w:rsidRPr="0004661B">
        <w:rPr>
          <w:rFonts w:ascii="Calibri" w:hAnsi="Calibri" w:cs="Calibri"/>
          <w:sz w:val="20"/>
          <w:szCs w:val="20"/>
          <w:lang w:val="en-AU"/>
        </w:rPr>
        <w:t>erastin</w:t>
      </w:r>
      <w:proofErr w:type="spellEnd"/>
      <w:r w:rsidR="0004661B">
        <w:rPr>
          <w:rFonts w:ascii="Calibri" w:hAnsi="Calibri" w:cs="Calibri" w:hint="eastAsia"/>
          <w:sz w:val="20"/>
          <w:szCs w:val="20"/>
          <w:lang w:val="en-AU" w:eastAsia="ja-JP"/>
        </w:rPr>
        <w:t xml:space="preserve">, the </w:t>
      </w:r>
      <w:r w:rsidR="0004661B" w:rsidRPr="0004661B">
        <w:rPr>
          <w:rFonts w:ascii="Calibri" w:hAnsi="Calibri" w:cs="Calibri"/>
          <w:sz w:val="20"/>
          <w:szCs w:val="20"/>
          <w:lang w:val="en-AU"/>
        </w:rPr>
        <w:t>ferroptosis inducer,</w:t>
      </w:r>
      <w:r w:rsidR="0004661B">
        <w:rPr>
          <w:rFonts w:ascii="Calibri" w:hAnsi="Calibri" w:cs="Calibri" w:hint="eastAsia"/>
          <w:sz w:val="20"/>
          <w:szCs w:val="20"/>
          <w:lang w:val="en-AU" w:eastAsia="ja-JP"/>
        </w:rPr>
        <w:t xml:space="preserve"> </w:t>
      </w:r>
      <w:r w:rsidR="0004661B" w:rsidRPr="0004661B">
        <w:rPr>
          <w:rFonts w:ascii="Calibri" w:hAnsi="Calibri" w:cs="Calibri"/>
          <w:sz w:val="20"/>
          <w:szCs w:val="20"/>
          <w:lang w:val="en-AU" w:eastAsia="ja-JP"/>
        </w:rPr>
        <w:t>decreased mitochondrial metabolic</w:t>
      </w:r>
      <w:r w:rsidR="009A6A34">
        <w:rPr>
          <w:rFonts w:ascii="Calibri" w:hAnsi="Calibri" w:cs="Calibri" w:hint="eastAsia"/>
          <w:sz w:val="20"/>
          <w:szCs w:val="20"/>
          <w:lang w:val="en-AU" w:eastAsia="ja-JP"/>
        </w:rPr>
        <w:t xml:space="preserve"> </w:t>
      </w:r>
      <w:r w:rsidR="0004661B" w:rsidRPr="0004661B">
        <w:rPr>
          <w:rFonts w:ascii="Calibri" w:hAnsi="Calibri" w:cs="Calibri"/>
          <w:sz w:val="20"/>
          <w:szCs w:val="20"/>
          <w:lang w:val="en-AU" w:eastAsia="ja-JP"/>
        </w:rPr>
        <w:t xml:space="preserve">activity and increased </w:t>
      </w:r>
      <w:r w:rsidR="0004661B">
        <w:rPr>
          <w:rFonts w:ascii="Calibri" w:hAnsi="Calibri" w:cs="Calibri" w:hint="eastAsia"/>
          <w:sz w:val="20"/>
          <w:szCs w:val="20"/>
          <w:lang w:val="en-AU" w:eastAsia="ja-JP"/>
        </w:rPr>
        <w:t>LDH</w:t>
      </w:r>
      <w:r w:rsidR="009A6A34" w:rsidRPr="009A6A34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9A6A34" w:rsidRPr="00B7665E">
        <w:rPr>
          <w:rFonts w:ascii="Calibri" w:hAnsi="Calibri" w:cs="Calibri"/>
          <w:sz w:val="20"/>
          <w:szCs w:val="20"/>
          <w:lang w:val="en-AU"/>
        </w:rPr>
        <w:t>leakage</w:t>
      </w:r>
      <w:r w:rsidR="0004661B">
        <w:rPr>
          <w:rFonts w:ascii="Calibri" w:hAnsi="Calibri" w:cs="Calibri" w:hint="eastAsia"/>
          <w:sz w:val="20"/>
          <w:szCs w:val="20"/>
          <w:lang w:val="en-AU" w:eastAsia="ja-JP"/>
        </w:rPr>
        <w:t xml:space="preserve">. </w:t>
      </w:r>
      <w:r w:rsidR="0004661B" w:rsidRPr="0004661B">
        <w:rPr>
          <w:rFonts w:ascii="Calibri" w:hAnsi="Calibri" w:cs="Calibri"/>
          <w:sz w:val="20"/>
          <w:szCs w:val="20"/>
          <w:lang w:val="en-AU" w:eastAsia="ja-JP"/>
        </w:rPr>
        <w:t xml:space="preserve">The cytotoxic effects of </w:t>
      </w:r>
      <w:proofErr w:type="spellStart"/>
      <w:r w:rsidR="0004661B" w:rsidRPr="0004661B">
        <w:rPr>
          <w:rFonts w:ascii="Calibri" w:hAnsi="Calibri" w:cs="Calibri"/>
          <w:sz w:val="20"/>
          <w:szCs w:val="20"/>
          <w:lang w:val="en-AU" w:eastAsia="ja-JP"/>
        </w:rPr>
        <w:t>erastin</w:t>
      </w:r>
      <w:proofErr w:type="spellEnd"/>
      <w:r w:rsidR="0004661B" w:rsidRPr="0004661B">
        <w:t xml:space="preserve"> </w:t>
      </w:r>
      <w:r w:rsidR="0004661B" w:rsidRPr="0004661B">
        <w:rPr>
          <w:rFonts w:ascii="Calibri" w:hAnsi="Calibri" w:cs="Calibri"/>
          <w:sz w:val="20"/>
          <w:szCs w:val="20"/>
          <w:lang w:val="en-AU" w:eastAsia="ja-JP"/>
        </w:rPr>
        <w:t xml:space="preserve">were almost completely inhibited by the radical-trapping antioxidant, UAMC-3203; iron chelator, deferoxamine (DFO); and selective </w:t>
      </w:r>
      <w:r w:rsidR="00C43523" w:rsidRPr="00C43523">
        <w:rPr>
          <w:rFonts w:ascii="Calibri" w:hAnsi="Calibri" w:cs="Calibri"/>
          <w:sz w:val="20"/>
          <w:szCs w:val="20"/>
          <w:lang w:val="en-AU" w:eastAsia="ja-JP"/>
        </w:rPr>
        <w:t>15-lipoxygenase</w:t>
      </w:r>
      <w:r w:rsidR="00C43523">
        <w:rPr>
          <w:rFonts w:ascii="Calibri" w:hAnsi="Calibri" w:cs="Calibri" w:hint="eastAsia"/>
          <w:sz w:val="20"/>
          <w:szCs w:val="20"/>
          <w:lang w:val="en-AU" w:eastAsia="ja-JP"/>
        </w:rPr>
        <w:t xml:space="preserve"> (15-LOX)</w:t>
      </w:r>
      <w:r w:rsidR="0004661B" w:rsidRPr="0004661B">
        <w:rPr>
          <w:rFonts w:ascii="Calibri" w:hAnsi="Calibri" w:cs="Calibri"/>
          <w:sz w:val="20"/>
          <w:szCs w:val="20"/>
          <w:lang w:val="en-AU" w:eastAsia="ja-JP"/>
        </w:rPr>
        <w:t xml:space="preserve"> inhibitor, ML351</w:t>
      </w:r>
      <w:r w:rsidR="00916709">
        <w:rPr>
          <w:rFonts w:ascii="Calibri" w:hAnsi="Calibri" w:cs="Calibri" w:hint="eastAsia"/>
          <w:sz w:val="20"/>
          <w:szCs w:val="20"/>
          <w:lang w:val="en-AU" w:eastAsia="ja-JP"/>
        </w:rPr>
        <w:t xml:space="preserve">. On the other hand, </w:t>
      </w:r>
      <w:r w:rsidR="00916709" w:rsidRPr="00916709">
        <w:rPr>
          <w:rFonts w:ascii="Calibri" w:hAnsi="Calibri" w:cs="Calibri"/>
          <w:sz w:val="20"/>
          <w:szCs w:val="20"/>
          <w:lang w:val="en-AU" w:eastAsia="ja-JP"/>
        </w:rPr>
        <w:t>CSE-induced cell damage was partially attenuated by UAMC-3203, and ML351 but not by DFO.</w:t>
      </w:r>
    </w:p>
    <w:p w14:paraId="6DDC4F5B" w14:textId="6887A3F1" w:rsidR="00C43523" w:rsidRPr="00C43523" w:rsidRDefault="00711813" w:rsidP="00711813">
      <w:pPr>
        <w:jc w:val="both"/>
        <w:rPr>
          <w:rFonts w:ascii="Calibri" w:hAnsi="Calibri" w:cs="Calibri"/>
          <w:sz w:val="20"/>
          <w:szCs w:val="20"/>
          <w:lang w:val="en-AU" w:eastAsia="ja-JP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Discussion.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916709" w:rsidRPr="00916709">
        <w:rPr>
          <w:rFonts w:ascii="Calibri" w:hAnsi="Calibri" w:cs="Calibri"/>
          <w:sz w:val="20"/>
          <w:szCs w:val="20"/>
          <w:lang w:val="en-AU"/>
        </w:rPr>
        <w:t xml:space="preserve">These results suggest that </w:t>
      </w:r>
      <w:proofErr w:type="spellStart"/>
      <w:r w:rsidR="00916709" w:rsidRPr="00916709">
        <w:rPr>
          <w:rFonts w:ascii="Calibri" w:hAnsi="Calibri" w:cs="Calibri"/>
          <w:sz w:val="20"/>
          <w:szCs w:val="20"/>
          <w:lang w:val="en-AU"/>
        </w:rPr>
        <w:t>erastin</w:t>
      </w:r>
      <w:proofErr w:type="spellEnd"/>
      <w:r w:rsidR="00916709" w:rsidRPr="00916709">
        <w:rPr>
          <w:rFonts w:ascii="Calibri" w:hAnsi="Calibri" w:cs="Calibri"/>
          <w:sz w:val="20"/>
          <w:szCs w:val="20"/>
          <w:lang w:val="en-AU"/>
        </w:rPr>
        <w:t xml:space="preserve"> induces ferroptosis via 15-LOX-mediated iron-dependent lipid peroxidation, whereas CSE causes </w:t>
      </w:r>
      <w:r w:rsidR="00C43523" w:rsidRPr="00C43523">
        <w:rPr>
          <w:rFonts w:ascii="Calibri" w:hAnsi="Calibri" w:cs="Calibri"/>
          <w:sz w:val="20"/>
          <w:szCs w:val="20"/>
          <w:lang w:val="en-AU"/>
        </w:rPr>
        <w:t>15</w:t>
      </w:r>
      <w:r w:rsidR="00C43523">
        <w:rPr>
          <w:rFonts w:ascii="Calibri" w:hAnsi="Calibri" w:cs="Calibri" w:hint="eastAsia"/>
          <w:sz w:val="20"/>
          <w:szCs w:val="20"/>
          <w:lang w:val="en-AU" w:eastAsia="ja-JP"/>
        </w:rPr>
        <w:t>-LOX</w:t>
      </w:r>
      <w:r w:rsidR="00C43523" w:rsidRPr="00C43523">
        <w:rPr>
          <w:rFonts w:ascii="Calibri" w:hAnsi="Calibri" w:cs="Calibri"/>
          <w:sz w:val="20"/>
          <w:szCs w:val="20"/>
          <w:lang w:val="en-AU"/>
        </w:rPr>
        <w:t>-mediated lipid peroxidation-dependent ferroptosis</w:t>
      </w:r>
      <w:r w:rsidR="00C43523">
        <w:rPr>
          <w:rFonts w:ascii="Calibri" w:hAnsi="Calibri" w:cs="Calibri" w:hint="eastAsia"/>
          <w:sz w:val="20"/>
          <w:szCs w:val="20"/>
          <w:lang w:val="en-AU" w:eastAsia="ja-JP"/>
        </w:rPr>
        <w:t xml:space="preserve"> and </w:t>
      </w:r>
      <w:r w:rsidR="00C43523" w:rsidRPr="00C43523">
        <w:rPr>
          <w:rFonts w:ascii="Calibri" w:hAnsi="Calibri" w:cs="Calibri"/>
          <w:sz w:val="20"/>
          <w:szCs w:val="20"/>
          <w:lang w:val="en-AU"/>
        </w:rPr>
        <w:t>15</w:t>
      </w:r>
      <w:r w:rsidR="00C43523">
        <w:rPr>
          <w:rFonts w:ascii="Calibri" w:hAnsi="Calibri" w:cs="Calibri" w:hint="eastAsia"/>
          <w:sz w:val="20"/>
          <w:szCs w:val="20"/>
          <w:lang w:val="en-AU" w:eastAsia="ja-JP"/>
        </w:rPr>
        <w:t>-LOX</w:t>
      </w:r>
      <w:r w:rsidR="00C43523" w:rsidRPr="00C43523">
        <w:rPr>
          <w:rFonts w:ascii="Calibri" w:hAnsi="Calibri" w:cs="Calibri"/>
          <w:sz w:val="20"/>
          <w:szCs w:val="20"/>
          <w:lang w:val="en-AU"/>
        </w:rPr>
        <w:t>-</w:t>
      </w:r>
      <w:r w:rsidR="00C43523">
        <w:rPr>
          <w:rFonts w:ascii="Calibri" w:hAnsi="Calibri" w:cs="Calibri" w:hint="eastAsia"/>
          <w:sz w:val="20"/>
          <w:szCs w:val="20"/>
          <w:lang w:val="en-AU" w:eastAsia="ja-JP"/>
        </w:rPr>
        <w:t xml:space="preserve">independent cell </w:t>
      </w:r>
      <w:r w:rsidR="00C43523">
        <w:rPr>
          <w:rFonts w:ascii="Calibri" w:hAnsi="Calibri" w:cs="Calibri"/>
          <w:sz w:val="20"/>
          <w:szCs w:val="20"/>
          <w:lang w:val="en-AU" w:eastAsia="ja-JP"/>
        </w:rPr>
        <w:t>damage</w:t>
      </w:r>
      <w:r w:rsidR="00C43523">
        <w:rPr>
          <w:rFonts w:ascii="Calibri" w:hAnsi="Calibri" w:cs="Calibri" w:hint="eastAsia"/>
          <w:sz w:val="20"/>
          <w:szCs w:val="20"/>
          <w:lang w:val="en-AU" w:eastAsia="ja-JP"/>
        </w:rPr>
        <w:t>.</w:t>
      </w:r>
    </w:p>
    <w:sectPr w:rsidR="00C43523" w:rsidRPr="00C43523" w:rsidSect="005D1700">
      <w:pgSz w:w="11906" w:h="8391" w:orient="landscape" w:code="11"/>
      <w:pgMar w:top="851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bordersDoNotSurroundHeader/>
  <w:bordersDoNotSurroundFooter/>
  <w:proofState w:spelling="clean" w:grammar="clean"/>
  <w:defaultTabStop w:val="720"/>
  <w:drawingGridHorizontalSpacing w:val="57"/>
  <w:displayHorizontalDrawingGridEvery w:val="0"/>
  <w:displayVerticalDrawingGridEvery w:val="2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BB"/>
    <w:rsid w:val="0004661B"/>
    <w:rsid w:val="000804B7"/>
    <w:rsid w:val="000A4FA6"/>
    <w:rsid w:val="002226BB"/>
    <w:rsid w:val="002272B0"/>
    <w:rsid w:val="00273A3F"/>
    <w:rsid w:val="002A5D26"/>
    <w:rsid w:val="00300B92"/>
    <w:rsid w:val="003238D9"/>
    <w:rsid w:val="00387491"/>
    <w:rsid w:val="003E5997"/>
    <w:rsid w:val="00444224"/>
    <w:rsid w:val="00452330"/>
    <w:rsid w:val="00483B05"/>
    <w:rsid w:val="004C4679"/>
    <w:rsid w:val="004E28B9"/>
    <w:rsid w:val="004E50FC"/>
    <w:rsid w:val="004E5450"/>
    <w:rsid w:val="004E61C7"/>
    <w:rsid w:val="0059609A"/>
    <w:rsid w:val="00597659"/>
    <w:rsid w:val="005D1700"/>
    <w:rsid w:val="005E4594"/>
    <w:rsid w:val="005E48A2"/>
    <w:rsid w:val="005E62BE"/>
    <w:rsid w:val="006213F6"/>
    <w:rsid w:val="00666B8E"/>
    <w:rsid w:val="006B12BB"/>
    <w:rsid w:val="006D264B"/>
    <w:rsid w:val="00711813"/>
    <w:rsid w:val="00724E3C"/>
    <w:rsid w:val="00743C46"/>
    <w:rsid w:val="00760B17"/>
    <w:rsid w:val="00780939"/>
    <w:rsid w:val="00885303"/>
    <w:rsid w:val="008909C9"/>
    <w:rsid w:val="00916709"/>
    <w:rsid w:val="00947B77"/>
    <w:rsid w:val="009A6A34"/>
    <w:rsid w:val="009E2228"/>
    <w:rsid w:val="009F06D6"/>
    <w:rsid w:val="00A266B4"/>
    <w:rsid w:val="00A71DEF"/>
    <w:rsid w:val="00AE2DA6"/>
    <w:rsid w:val="00B7665E"/>
    <w:rsid w:val="00BC5FCC"/>
    <w:rsid w:val="00C03310"/>
    <w:rsid w:val="00C132EC"/>
    <w:rsid w:val="00C43523"/>
    <w:rsid w:val="00C60A71"/>
    <w:rsid w:val="00D55F3B"/>
    <w:rsid w:val="00DA2731"/>
    <w:rsid w:val="00EF12F3"/>
    <w:rsid w:val="00F02477"/>
    <w:rsid w:val="00F137C0"/>
    <w:rsid w:val="00F90B74"/>
    <w:rsid w:val="00F90F73"/>
    <w:rsid w:val="00F97620"/>
    <w:rsid w:val="00FA59CC"/>
    <w:rsid w:val="00FE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A3E9F8"/>
  <w15:chartTrackingRefBased/>
  <w15:docId w15:val="{BBE97EF3-8FE9-4C89-8BE8-CBEF11280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3">
    <w:name w:val="heading 3"/>
    <w:basedOn w:val="a"/>
    <w:next w:val="a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5">
    <w:name w:val="heading 5"/>
    <w:basedOn w:val="a"/>
    <w:next w:val="a"/>
    <w:link w:val="50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50">
    <w:name w:val="見出し 5 (文字)"/>
    <w:link w:val="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a4">
    <w:name w:val="吹き出し (文字)"/>
    <w:link w:val="a3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a5">
    <w:name w:val="Strong"/>
    <w:uiPriority w:val="22"/>
    <w:qFormat/>
    <w:rsid w:val="00743C46"/>
    <w:rPr>
      <w:b/>
      <w:bCs/>
    </w:rPr>
  </w:style>
  <w:style w:type="character" w:styleId="a6">
    <w:name w:val="Hyperlink"/>
    <w:uiPriority w:val="99"/>
    <w:unhideWhenUsed/>
    <w:rsid w:val="00F90F73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F90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84e3ec-4587-4418-b23a-bd5009477010">
      <Terms xmlns="http://schemas.microsoft.com/office/infopath/2007/PartnerControls"/>
    </lcf76f155ced4ddcb4097134ff3c332f>
    <TaxCatchAll xmlns="79faf93c-7b46-4b26-8966-6d698e8b406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8" ma:contentTypeDescription="Create a new document." ma:contentTypeScope="" ma:versionID="82fa6b8bbe5aa1e5a147898ce11eee45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4aa8403be6c3a7d49ea4b008b126b62c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d0f5a8-1cae-497c-8626-323dd4f94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48bb7-3aca-46f5-8d8e-a282f3998c12}" ma:internalName="TaxCatchAll" ma:showField="CatchAllData" ma:web="79faf93c-7b46-4b26-8966-6d698e8b4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0373C-4B47-428D-A348-E2907AC13683}">
  <ds:schemaRefs>
    <ds:schemaRef ds:uri="http://schemas.microsoft.com/office/2006/metadata/properties"/>
    <ds:schemaRef ds:uri="http://schemas.microsoft.com/office/infopath/2007/PartnerControls"/>
    <ds:schemaRef ds:uri="4a84e3ec-4587-4418-b23a-bd5009477010"/>
    <ds:schemaRef ds:uri="79faf93c-7b46-4b26-8966-6d698e8b4062"/>
  </ds:schemaRefs>
</ds:datastoreItem>
</file>

<file path=customXml/itemProps2.xml><?xml version="1.0" encoding="utf-8"?>
<ds:datastoreItem xmlns:ds="http://schemas.openxmlformats.org/officeDocument/2006/customXml" ds:itemID="{B00710B7-8A32-4B22-BA04-55FF9343F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69B453-C66C-4EB3-931C-5BBA9ADE1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5BD78B-CE88-405E-AC70-C2DFF40B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265</Words>
  <Characters>1714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Submission Format for ConnectED 2007</vt:lpstr>
      <vt:lpstr>Submission Format for ConnectED 2007</vt:lpstr>
    </vt:vector>
  </TitlesOfParts>
  <Company>clems</Company>
  <LinksUpToDate>false</LinksUpToDate>
  <CharactersWithSpaces>1976</CharactersWithSpaces>
  <SharedDoc>false</SharedDoc>
  <HLinks>
    <vt:vector size="6" baseType="variant">
      <vt:variant>
        <vt:i4>6946820</vt:i4>
      </vt:variant>
      <vt:variant>
        <vt:i4>0</vt:i4>
      </vt:variant>
      <vt:variant>
        <vt:i4>0</vt:i4>
      </vt:variant>
      <vt:variant>
        <vt:i4>5</vt:i4>
      </vt:variant>
      <vt:variant>
        <vt:lpwstr>mailto:wcp2026@expertevents.com.au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subject/>
  <dc:creator>gillard</dc:creator>
  <cp:keywords/>
  <cp:lastModifiedBy>堀之内孝広</cp:lastModifiedBy>
  <cp:revision>11</cp:revision>
  <cp:lastPrinted>2025-09-09T07:42:00Z</cp:lastPrinted>
  <dcterms:created xsi:type="dcterms:W3CDTF">2025-09-09T02:25:00Z</dcterms:created>
  <dcterms:modified xsi:type="dcterms:W3CDTF">2025-09-14T13:04:00Z</dcterms:modified>
</cp:coreProperties>
</file>