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EA08" w14:textId="69C5AE56" w:rsidR="00144764" w:rsidRPr="00144764" w:rsidRDefault="00144764" w:rsidP="00144764">
      <w:pPr>
        <w:spacing w:after="0" w:line="240" w:lineRule="auto"/>
        <w:rPr>
          <w:rFonts w:ascii="Arial" w:hAnsi="Arial" w:cs="Calibri"/>
          <w:b/>
          <w:bCs/>
          <w:kern w:val="0"/>
          <w:lang w:val="en-US" w:eastAsia="ja-JP"/>
          <w14:ligatures w14:val="none"/>
        </w:rPr>
      </w:pPr>
      <w:r w:rsidRPr="00144764">
        <w:rPr>
          <w:rFonts w:ascii="Arial" w:hAnsi="Arial" w:cs="Calibri"/>
          <w:b/>
          <w:bCs/>
          <w:kern w:val="0"/>
          <w:lang w:val="en-US" w:eastAsia="ja-JP"/>
          <w14:ligatures w14:val="none"/>
        </w:rPr>
        <w:t>Drug-</w:t>
      </w:r>
      <w:r w:rsidR="0056181F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D</w:t>
      </w:r>
      <w:r w:rsidRPr="00144764">
        <w:rPr>
          <w:rFonts w:ascii="Arial" w:hAnsi="Arial" w:cs="Calibri"/>
          <w:b/>
          <w:bCs/>
          <w:kern w:val="0"/>
          <w:lang w:val="en-US" w:eastAsia="ja-JP"/>
          <w14:ligatures w14:val="none"/>
        </w:rPr>
        <w:t xml:space="preserve">rug </w:t>
      </w:r>
      <w:r w:rsidR="0056181F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I</w:t>
      </w:r>
      <w:r w:rsidRPr="00144764">
        <w:rPr>
          <w:rFonts w:ascii="Arial" w:hAnsi="Arial" w:cs="Calibri"/>
          <w:b/>
          <w:bCs/>
          <w:kern w:val="0"/>
          <w:lang w:val="en-US" w:eastAsia="ja-JP"/>
          <w14:ligatures w14:val="none"/>
        </w:rPr>
        <w:t xml:space="preserve">nteraction between </w:t>
      </w:r>
      <w:r w:rsidR="00C36D2E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T</w:t>
      </w:r>
      <w:r w:rsidRPr="00144764">
        <w:rPr>
          <w:rFonts w:ascii="Arial" w:hAnsi="Arial" w:cs="Calibri"/>
          <w:b/>
          <w:bCs/>
          <w:kern w:val="0"/>
          <w:lang w:val="en-US" w:eastAsia="ja-JP"/>
          <w14:ligatures w14:val="none"/>
        </w:rPr>
        <w:t xml:space="preserve">rastuzumab </w:t>
      </w:r>
      <w:r w:rsidR="00C36D2E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E</w:t>
      </w:r>
      <w:r w:rsidRPr="00144764">
        <w:rPr>
          <w:rFonts w:ascii="Arial" w:hAnsi="Arial" w:cs="Calibri"/>
          <w:b/>
          <w:bCs/>
          <w:kern w:val="0"/>
          <w:lang w:val="en-US" w:eastAsia="ja-JP"/>
          <w14:ligatures w14:val="none"/>
        </w:rPr>
        <w:t xml:space="preserve">mtansine (T-DM1) and </w:t>
      </w:r>
      <w:r w:rsidR="00C87E68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O</w:t>
      </w:r>
      <w:r w:rsidRPr="00144764">
        <w:rPr>
          <w:rFonts w:ascii="Arial" w:hAnsi="Arial" w:cs="Calibri"/>
          <w:b/>
          <w:bCs/>
          <w:kern w:val="0"/>
          <w:lang w:val="en-US" w:eastAsia="ja-JP"/>
          <w14:ligatures w14:val="none"/>
        </w:rPr>
        <w:t>rally</w:t>
      </w:r>
      <w:r w:rsidR="001D13F7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 xml:space="preserve"> </w:t>
      </w:r>
      <w:r w:rsidR="00C87E68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A</w:t>
      </w:r>
      <w:r w:rsidRPr="00144764">
        <w:rPr>
          <w:rFonts w:ascii="Arial" w:hAnsi="Arial" w:cs="Calibri"/>
          <w:b/>
          <w:bCs/>
          <w:kern w:val="0"/>
          <w:lang w:val="en-US" w:eastAsia="ja-JP"/>
          <w14:ligatures w14:val="none"/>
        </w:rPr>
        <w:t xml:space="preserve">dministered </w:t>
      </w:r>
      <w:r w:rsidR="00C87E68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T</w:t>
      </w:r>
      <w:r w:rsidRPr="00144764">
        <w:rPr>
          <w:rFonts w:ascii="Arial" w:hAnsi="Arial" w:cs="Calibri"/>
          <w:b/>
          <w:bCs/>
          <w:kern w:val="0"/>
          <w:lang w:val="en-US" w:eastAsia="ja-JP"/>
          <w14:ligatures w14:val="none"/>
        </w:rPr>
        <w:t xml:space="preserve">acrolimus in a </w:t>
      </w:r>
      <w:r w:rsidR="00C87E68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P</w:t>
      </w:r>
      <w:r w:rsidRPr="00144764">
        <w:rPr>
          <w:rFonts w:ascii="Arial" w:hAnsi="Arial" w:cs="Calibri"/>
          <w:b/>
          <w:bCs/>
          <w:kern w:val="0"/>
          <w:lang w:val="en-US" w:eastAsia="ja-JP"/>
          <w14:ligatures w14:val="none"/>
        </w:rPr>
        <w:t xml:space="preserve">atient and in </w:t>
      </w:r>
      <w:r w:rsidR="00C87E68"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R</w:t>
      </w:r>
      <w:r w:rsidRPr="00144764">
        <w:rPr>
          <w:rFonts w:ascii="Arial" w:hAnsi="Arial" w:cs="Calibri"/>
          <w:b/>
          <w:bCs/>
          <w:kern w:val="0"/>
          <w:lang w:val="en-US" w:eastAsia="ja-JP"/>
          <w14:ligatures w14:val="none"/>
        </w:rPr>
        <w:t>at</w:t>
      </w:r>
    </w:p>
    <w:p w14:paraId="79141BD9" w14:textId="68622CEF" w:rsidR="00C315D2" w:rsidRDefault="00781DFD" w:rsidP="00C315D2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>
        <w:rPr>
          <w:rFonts w:ascii="Arial" w:hAnsi="Arial" w:cs="Calibri" w:hint="eastAsia"/>
          <w:b/>
          <w:kern w:val="0"/>
          <w:sz w:val="20"/>
          <w:szCs w:val="20"/>
          <w:u w:val="single"/>
          <w:lang w:eastAsia="ja-JP"/>
          <w14:ligatures w14:val="none"/>
        </w:rPr>
        <w:t>Yoshimichi Sai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B66EAA">
        <w:rPr>
          <w:rFonts w:ascii="Arial" w:hAnsi="Arial" w:cs="Calibri" w:hint="eastAsia"/>
          <w:b/>
          <w:kern w:val="0"/>
          <w:sz w:val="20"/>
          <w:szCs w:val="20"/>
          <w:u w:val="single"/>
          <w:vertAlign w:val="superscript"/>
          <w:lang w:eastAsia="ja-JP"/>
          <w14:ligatures w14:val="none"/>
        </w:rPr>
        <w:t>,2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418E5" w:rsidRPr="00A5116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Tomohiro Nakamura</w:t>
      </w:r>
      <w:r w:rsidR="004418E5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4418E5" w:rsidRPr="00A5116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Moeko Shimada</w:t>
      </w:r>
      <w:r w:rsidR="004418E5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2</w:t>
      </w:r>
      <w:r w:rsidR="004418E5" w:rsidRPr="00A5116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Makiko Takabayashi</w:t>
      </w:r>
      <w:r w:rsidR="004418E5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2</w:t>
      </w:r>
      <w:r w:rsidR="004418E5" w:rsidRPr="00A5116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Arimi Fujita</w:t>
      </w:r>
      <w:r w:rsidR="004418E5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 w:rsidR="004418E5" w:rsidRPr="00A5116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Takahiro Kawakami</w:t>
      </w:r>
      <w:r w:rsidR="004418E5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 w:rsidR="004418E5" w:rsidRPr="00A5116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Hiroyuki Maruyama</w:t>
      </w:r>
      <w:r w:rsidR="004418E5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3</w:t>
      </w:r>
      <w:r w:rsidR="004418E5" w:rsidRPr="00A5116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，</w:t>
      </w:r>
      <w:r w:rsidR="004418E5" w:rsidRPr="00A5116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Hirofumi Terakawa</w:t>
      </w:r>
      <w:r w:rsidR="004418E5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4</w:t>
      </w:r>
      <w:r w:rsidR="004418E5" w:rsidRPr="00A5116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Tsutomu Shimada</w:t>
      </w:r>
      <w:r w:rsidR="004418E5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2</w:t>
      </w:r>
      <w:r w:rsidR="004418E5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,</w:t>
      </w:r>
      <w:r w:rsidR="004418E5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5</w:t>
      </w:r>
      <w:r w:rsidR="004418E5" w:rsidRPr="00A5116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Toshihiro Miyamoto</w:t>
      </w:r>
      <w:r w:rsidR="00102127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3</w:t>
      </w:r>
      <w:r w:rsidR="004418E5" w:rsidRPr="00A5116C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Takahiro Ishimoto</w:t>
      </w:r>
      <w:r w:rsidR="004418E5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55DF17B7" w14:textId="1625AB6E" w:rsidR="00902C0C" w:rsidRPr="00902C0C" w:rsidRDefault="00902C0C" w:rsidP="00902C0C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  <w:r w:rsidRPr="00902C0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Department of Clinical Pharmacokinetics</w:t>
      </w:r>
      <w:r w:rsidR="00333B80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902C0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, </w:t>
      </w:r>
      <w:r w:rsidR="004D1C5D" w:rsidRPr="00902C0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Department of Hospital Pharmacy</w:t>
      </w:r>
      <w:r w:rsidR="004D1C5D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4D1C5D" w:rsidRPr="00902C0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,</w:t>
      </w:r>
      <w:r w:rsidR="00C8608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4D1C5D" w:rsidRPr="00902C0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Department of Hematology</w:t>
      </w:r>
      <w:r w:rsidR="004D1C5D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3</w:t>
      </w:r>
      <w:r w:rsidR="004D1C5D" w:rsidRPr="00902C0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,</w:t>
      </w:r>
      <w:r w:rsidR="004D1C5D" w:rsidRPr="004D1C5D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 xml:space="preserve"> </w:t>
      </w:r>
      <w:r w:rsidR="0099553B" w:rsidRPr="00902C0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Department of Breast Surgery</w:t>
      </w:r>
      <w:r w:rsidR="00F02DDE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4</w:t>
      </w:r>
      <w:r w:rsidR="0099553B" w:rsidRPr="00902C0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,</w:t>
      </w:r>
      <w:r w:rsidR="00F02DD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F02DDE" w:rsidRPr="00902C0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Department of Clinical Pharmacy and Healthcare Science</w:t>
      </w:r>
      <w:r w:rsidR="00F02DDE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5</w:t>
      </w:r>
      <w:r w:rsidR="00F02DDE" w:rsidRPr="00902C0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, </w:t>
      </w:r>
      <w:r w:rsidRPr="00902C0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>Kanazawa University, Kanazawa</w:t>
      </w:r>
      <w:r w:rsidR="00333B80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Ishikawa</w:t>
      </w:r>
      <w:r w:rsidRPr="00902C0C"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  <w:t xml:space="preserve">, Japan. </w:t>
      </w:r>
    </w:p>
    <w:p w14:paraId="38D0B80E" w14:textId="77777777" w:rsidR="00980C06" w:rsidRPr="00C86084" w:rsidRDefault="00980C06" w:rsidP="00902C0C">
      <w:pPr>
        <w:spacing w:after="0" w:line="240" w:lineRule="auto"/>
        <w:rPr>
          <w:rFonts w:ascii="Arial" w:hAnsi="Arial" w:cs="Calibri"/>
          <w:bCs/>
          <w:kern w:val="0"/>
          <w:sz w:val="20"/>
          <w:szCs w:val="20"/>
          <w:lang w:eastAsia="ja-JP"/>
          <w14:ligatures w14:val="none"/>
        </w:rPr>
      </w:pPr>
    </w:p>
    <w:p w14:paraId="4BB45FDE" w14:textId="6361B31D" w:rsidR="00F149BF" w:rsidRPr="00F149BF" w:rsidRDefault="00B8473A" w:rsidP="00C315D2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05407A" w:rsidRPr="0005407A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Trastuzumab emtansine (T-DM1) is an antibody-drug conjugate (ADC) composed of trastuzumab (Tmab) and N2'-deacetyl-N2'-(3-mercapto-1-oxopropyl)-maytansine (DM1), a cytotoxic drug (payload)</w:t>
      </w:r>
      <w:r w:rsidR="00035DC8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. </w:t>
      </w:r>
      <w:r w:rsidR="00035DC8" w:rsidRPr="00035DC8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Compared to small molecule drugs, ADCs are considered less likely to interact with metabolic enzymes such as CYPs</w:t>
      </w:r>
      <w:r w:rsidR="00581B56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or drug </w:t>
      </w:r>
      <w:r w:rsidR="00035DC8" w:rsidRPr="00035DC8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transporters</w:t>
      </w:r>
      <w:r w:rsidR="00581B56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.</w:t>
      </w:r>
      <w:r w:rsidR="003B6FE7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However, we have </w:t>
      </w:r>
      <w:r w:rsidR="00791BD1" w:rsidRPr="00791BD1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experienced a 2.3-fold increase in the trough concentration of orally administered tacrolimus in a patient for 7 days after intravenous administration of T-DM1.</w:t>
      </w:r>
      <w:r w:rsidR="008A1B00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C748E5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The aim</w:t>
      </w:r>
      <w:r w:rsidR="00E86698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of this study was to </w:t>
      </w:r>
      <w:r w:rsidR="009D7C31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confirm </w:t>
      </w:r>
      <w:r w:rsidR="00CD4D8E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and clarify the mechanism of </w:t>
      </w:r>
      <w:r w:rsidR="00BB12EA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this drug-drug interaction</w:t>
      </w:r>
      <w:r w:rsidR="002D3876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using rat model</w:t>
      </w:r>
      <w:r w:rsidR="0028737B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>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657332A6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5127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W</w:t>
      </w:r>
      <w:r w:rsidR="00B51274" w:rsidRPr="00B5127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e conducted a detailed retrospective clinical study of the interaction between T-DM1 and tacrolimus in this case and conducted animal experiments </w:t>
      </w:r>
      <w:r w:rsidR="008E356E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using rats </w:t>
      </w:r>
      <w:r w:rsidR="00B51274" w:rsidRPr="00B5127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to examine the putative pharmacokinetic interaction.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25EFD2D8" w:rsidR="00C315D2" w:rsidRPr="00C315D2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</w:t>
      </w:r>
      <w:r w:rsidRPr="00F00A04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ults.</w:t>
      </w:r>
      <w:r w:rsidR="00C315D2" w:rsidRPr="00F00A0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952C50" w:rsidRPr="00F00A04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Retrospective clinical study revealed no change in factors known to alter the pharmacokinetics of tacrolimus, and the change in the trough concentration of tacrolimus was reversed after switching T-DM1 to trastuzumab (Tmab). Thus, interaction with T-DM1 was suspected as the cause of the increased trough concentration of tacrolimus.</w:t>
      </w:r>
      <w:r w:rsidR="00952C50" w:rsidRPr="00F00A04">
        <w:rPr>
          <w:rFonts w:ascii="Arial" w:hAnsi="Arial" w:cs="Arial"/>
          <w:kern w:val="0"/>
          <w:sz w:val="20"/>
          <w:szCs w:val="20"/>
          <w:lang w:val="en-GB" w:eastAsia="ja-JP"/>
          <w14:ligatures w14:val="none"/>
        </w:rPr>
        <w:t xml:space="preserve"> </w:t>
      </w:r>
      <w:r w:rsidR="00A470E7" w:rsidRPr="00F00A0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A</w:t>
      </w:r>
      <w:r w:rsidR="00A470E7" w:rsidRPr="00A470E7">
        <w:rPr>
          <w:rFonts w:ascii="Arial" w:eastAsia="Calibri" w:hAnsi="Arial" w:cs="Calibri" w:hint="eastAsia"/>
          <w:kern w:val="0"/>
          <w:sz w:val="20"/>
          <w:szCs w:val="20"/>
          <w:lang w:val="en-US"/>
          <w14:ligatures w14:val="none"/>
        </w:rPr>
        <w:t>n animal study in rats showed that T-DM1 significantly increased the AUC</w:t>
      </w:r>
      <w:r w:rsidR="00A470E7" w:rsidRPr="00AD4F54">
        <w:rPr>
          <w:rFonts w:ascii="Arial" w:eastAsia="Calibri" w:hAnsi="Arial" w:cs="Calibri" w:hint="eastAsia"/>
          <w:kern w:val="0"/>
          <w:sz w:val="20"/>
          <w:szCs w:val="20"/>
          <w:vertAlign w:val="subscript"/>
          <w:lang w:val="en-US"/>
          <w14:ligatures w14:val="none"/>
        </w:rPr>
        <w:t>0-</w:t>
      </w:r>
      <w:r w:rsidR="00A470E7" w:rsidRPr="00AD4F54">
        <w:rPr>
          <w:rFonts w:ascii="Arial" w:eastAsia="Calibri" w:hAnsi="Arial" w:cs="Calibri" w:hint="eastAsia"/>
          <w:kern w:val="0"/>
          <w:sz w:val="20"/>
          <w:szCs w:val="20"/>
          <w:vertAlign w:val="subscript"/>
          <w:lang w:val="en-US"/>
          <w14:ligatures w14:val="none"/>
        </w:rPr>
        <w:t>∞</w:t>
      </w:r>
      <w:r w:rsidR="00A470E7" w:rsidRPr="00A470E7">
        <w:rPr>
          <w:rFonts w:ascii="Arial" w:eastAsia="Calibri" w:hAnsi="Arial" w:cs="Calibri" w:hint="eastAsia"/>
          <w:kern w:val="0"/>
          <w:sz w:val="20"/>
          <w:szCs w:val="20"/>
          <w:lang w:val="en-US"/>
          <w14:ligatures w14:val="none"/>
        </w:rPr>
        <w:t xml:space="preserve"> of orally administered tacrolimus by more than 2-fold on day 0, day 3, and day 7, whereas no change was observed in the case of intravenous administration of tacrolimus. T-DM1 also significantly increased Fa</w:t>
      </w:r>
      <w:r w:rsidR="00A470E7" w:rsidRPr="00A470E7">
        <w:rPr>
          <w:rFonts w:ascii="ＭＳ 明朝" w:eastAsia="ＭＳ 明朝" w:hAnsi="ＭＳ 明朝" w:cs="ＭＳ 明朝" w:hint="eastAsia"/>
          <w:kern w:val="0"/>
          <w:sz w:val="20"/>
          <w:szCs w:val="20"/>
          <w:lang w:val="en-US"/>
          <w14:ligatures w14:val="none"/>
        </w:rPr>
        <w:t>・</w:t>
      </w:r>
      <w:r w:rsidR="00A470E7" w:rsidRPr="00A470E7">
        <w:rPr>
          <w:rFonts w:ascii="Arial" w:eastAsia="Calibri" w:hAnsi="Arial" w:cs="Calibri" w:hint="eastAsia"/>
          <w:kern w:val="0"/>
          <w:sz w:val="20"/>
          <w:szCs w:val="20"/>
          <w:lang w:val="en-US"/>
          <w14:ligatures w14:val="none"/>
        </w:rPr>
        <w:t>Fg of tacrolimus by more than 2-fold on day 7. In contrast, Tmab itself had no effect on the blood concentration of tacrolimus.</w:t>
      </w:r>
      <w:r w:rsidR="00134BC1" w:rsidRPr="00134BC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134BC1" w:rsidRPr="00794C3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These results suggest that T-DM1 increased the blood concentration of orally administered tacrolimus, and the effect persisted for 1 week after T-DM1 administration. </w:t>
      </w:r>
    </w:p>
    <w:p w14:paraId="670F9BAF" w14:textId="34F173C8" w:rsidR="00C315D2" w:rsidRPr="00E36719" w:rsidRDefault="00603A68" w:rsidP="00C86679">
      <w:pPr>
        <w:jc w:val="center"/>
        <w:rPr>
          <w:rFonts w:ascii="Arial" w:hAnsi="Arial" w:cs="Calibri"/>
          <w:sz w:val="20"/>
          <w:szCs w:val="20"/>
          <w:lang w:eastAsia="ja-JP"/>
        </w:rPr>
      </w:pPr>
      <w:r>
        <w:rPr>
          <w:rFonts w:ascii="Arial" w:hAnsi="Arial" w:cs="Calibri"/>
          <w:noProof/>
          <w:sz w:val="20"/>
          <w:szCs w:val="20"/>
          <w:lang w:eastAsia="ja-JP"/>
        </w:rPr>
        <w:drawing>
          <wp:inline distT="0" distB="0" distL="0" distR="0" wp14:anchorId="759DADA1" wp14:editId="40866482">
            <wp:extent cx="3347720" cy="1827196"/>
            <wp:effectExtent l="0" t="0" r="5080" b="0"/>
            <wp:docPr id="15121803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7"/>
                    <a:stretch/>
                  </pic:blipFill>
                  <pic:spPr bwMode="auto">
                    <a:xfrm>
                      <a:off x="0" y="0"/>
                      <a:ext cx="3374370" cy="184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32698E" w14:textId="0441EEFB" w:rsidR="004654EF" w:rsidRPr="004654EF" w:rsidRDefault="00C315D2" w:rsidP="004654EF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4654EF" w:rsidRPr="004654EF">
        <w:rPr>
          <w:rFonts w:ascii="Arial" w:eastAsia="Calibri" w:hAnsi="Arial" w:cs="Calibri" w:hint="eastAsia"/>
          <w:kern w:val="0"/>
          <w:sz w:val="20"/>
          <w:szCs w:val="20"/>
          <w:lang w:val="en-GB"/>
          <w14:ligatures w14:val="none"/>
        </w:rPr>
        <w:t>Clinically administered doses of tacrolimus (TAC), T-DM1 and trastuzumab (Tmab), trough concentration of tacrolimus (</w:t>
      </w:r>
      <w:r w:rsidR="004654EF" w:rsidRPr="004654EF">
        <w:rPr>
          <w:rFonts w:ascii="Arial" w:eastAsia="Calibri" w:hAnsi="Arial" w:cs="Calibri" w:hint="eastAsia"/>
          <w:kern w:val="0"/>
          <w:sz w:val="20"/>
          <w:szCs w:val="20"/>
          <w:lang w:val="en-GB"/>
          <w14:ligatures w14:val="none"/>
        </w:rPr>
        <w:t>●</w:t>
      </w:r>
      <w:r w:rsidR="004654EF" w:rsidRPr="004654EF">
        <w:rPr>
          <w:rFonts w:ascii="Arial" w:eastAsia="Calibri" w:hAnsi="Arial" w:cs="Calibri" w:hint="eastAsia"/>
          <w:kern w:val="0"/>
          <w:sz w:val="20"/>
          <w:szCs w:val="20"/>
          <w:lang w:val="en-GB"/>
          <w14:ligatures w14:val="none"/>
        </w:rPr>
        <w:t>), and concentration/dose (C/D) ratio of tacrolimus (</w:t>
      </w:r>
      <w:r w:rsidR="004654EF" w:rsidRPr="004654EF">
        <w:rPr>
          <w:rFonts w:ascii="Cambria Math" w:eastAsia="Calibri" w:hAnsi="Cambria Math" w:cs="Cambria Math"/>
          <w:kern w:val="0"/>
          <w:sz w:val="20"/>
          <w:szCs w:val="20"/>
          <w:lang w:val="en-GB"/>
          <w14:ligatures w14:val="none"/>
        </w:rPr>
        <w:t>△</w:t>
      </w:r>
      <w:r w:rsidR="004654EF" w:rsidRPr="004654EF">
        <w:rPr>
          <w:rFonts w:ascii="Arial" w:eastAsia="Calibri" w:hAnsi="Arial" w:cs="Calibri" w:hint="eastAsia"/>
          <w:kern w:val="0"/>
          <w:sz w:val="20"/>
          <w:szCs w:val="20"/>
          <w:lang w:val="en-GB"/>
          <w14:ligatures w14:val="none"/>
        </w:rPr>
        <w:t>)</w:t>
      </w:r>
    </w:p>
    <w:p w14:paraId="44719324" w14:textId="4A081D4A" w:rsidR="00C315D2" w:rsidRPr="004654EF" w:rsidRDefault="004654EF" w:rsidP="004654EF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14:ligatures w14:val="none"/>
        </w:rPr>
      </w:pPr>
      <w:r w:rsidRPr="004654EF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The patient was taking tacrolimus (1.5 mg/kg or 1.0 mg/kg) orally and then T-DM1 (120 mg or 100 mg) or Tmab (290 mg).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4C434856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34BC1" w:rsidRPr="00134B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An increase in the blood concentration of orally administered tacrolimus was observed after intravenous T-DM1 administration in a patient and the interaction was confirmed in an animal study. </w:t>
      </w:r>
      <w:r w:rsidR="004C29B0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It is known that</w:t>
      </w:r>
      <w:r w:rsidR="00752034" w:rsidRPr="0075203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T-DM1 is metabolized and the metabolites predominantly undergo biliary excretion</w:t>
      </w:r>
      <w:r w:rsidR="00752034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.</w:t>
      </w:r>
      <w:r w:rsidR="00752034" w:rsidRPr="00752034">
        <w:rPr>
          <w:rFonts w:ascii="Arial" w:eastAsia="Calibri" w:hAnsi="Arial" w:cs="Calibri" w:hint="eastAsia"/>
          <w:bCs/>
          <w:kern w:val="0"/>
          <w:sz w:val="20"/>
          <w:szCs w:val="20"/>
          <w14:ligatures w14:val="none"/>
        </w:rPr>
        <w:t xml:space="preserve"> </w:t>
      </w:r>
      <w:r w:rsidR="004E3751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It was</w:t>
      </w:r>
      <w:r w:rsidR="00134BC1" w:rsidRPr="00134B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suggest</w:t>
      </w:r>
      <w:r w:rsidR="004E3751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ed</w:t>
      </w:r>
      <w:r w:rsidR="00134BC1" w:rsidRPr="00134BC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that metabolites of T-DM1, rather than Tmab itself, affected the gastrointestinal absorption of tacrolimus.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D6E388F" w14:textId="4856AF0D" w:rsidR="00113BB7" w:rsidRDefault="003E5EC8" w:rsidP="00F52071">
      <w:pPr>
        <w:spacing w:after="0" w:line="240" w:lineRule="auto"/>
        <w:jc w:val="both"/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hAnsi="Arial" w:cs="Calibri" w:hint="eastAsia"/>
          <w:b/>
          <w:kern w:val="0"/>
          <w:sz w:val="20"/>
          <w:szCs w:val="20"/>
          <w:lang w:eastAsia="ja-JP"/>
          <w14:ligatures w14:val="none"/>
        </w:rPr>
        <w:t>Acknowledgements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: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765D5" w:rsidRPr="00B765D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This work was supported in part by JST SPRING [Grant Number JPMJSP2135] and JSPS KAKENHI [Grant Number JP23K06209].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</w:p>
    <w:sectPr w:rsidR="00113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E127" w14:textId="77777777" w:rsidR="00D0513F" w:rsidRDefault="00D0513F" w:rsidP="005070E2">
      <w:pPr>
        <w:spacing w:after="0" w:line="240" w:lineRule="auto"/>
      </w:pPr>
      <w:r>
        <w:separator/>
      </w:r>
    </w:p>
  </w:endnote>
  <w:endnote w:type="continuationSeparator" w:id="0">
    <w:p w14:paraId="469FE249" w14:textId="77777777" w:rsidR="00D0513F" w:rsidRDefault="00D0513F" w:rsidP="00507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FC19" w14:textId="77777777" w:rsidR="00D0513F" w:rsidRDefault="00D0513F" w:rsidP="005070E2">
      <w:pPr>
        <w:spacing w:after="0" w:line="240" w:lineRule="auto"/>
      </w:pPr>
      <w:r>
        <w:separator/>
      </w:r>
    </w:p>
  </w:footnote>
  <w:footnote w:type="continuationSeparator" w:id="0">
    <w:p w14:paraId="4F600F90" w14:textId="77777777" w:rsidR="00D0513F" w:rsidRDefault="00D0513F" w:rsidP="00507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249C8"/>
    <w:rsid w:val="00035DC8"/>
    <w:rsid w:val="0005407A"/>
    <w:rsid w:val="0008451E"/>
    <w:rsid w:val="000B7104"/>
    <w:rsid w:val="00102127"/>
    <w:rsid w:val="00107368"/>
    <w:rsid w:val="00113BB7"/>
    <w:rsid w:val="00117822"/>
    <w:rsid w:val="00134BC1"/>
    <w:rsid w:val="00144764"/>
    <w:rsid w:val="001B5470"/>
    <w:rsid w:val="001D13F7"/>
    <w:rsid w:val="001F1375"/>
    <w:rsid w:val="002017E6"/>
    <w:rsid w:val="00221725"/>
    <w:rsid w:val="0028737B"/>
    <w:rsid w:val="00294059"/>
    <w:rsid w:val="002B437D"/>
    <w:rsid w:val="002D3876"/>
    <w:rsid w:val="003206E4"/>
    <w:rsid w:val="00333B80"/>
    <w:rsid w:val="0034206B"/>
    <w:rsid w:val="003A6D5C"/>
    <w:rsid w:val="003B6FE7"/>
    <w:rsid w:val="003E5EC8"/>
    <w:rsid w:val="0041110E"/>
    <w:rsid w:val="004418E5"/>
    <w:rsid w:val="004654EF"/>
    <w:rsid w:val="004A51B6"/>
    <w:rsid w:val="004C29B0"/>
    <w:rsid w:val="004D1C5D"/>
    <w:rsid w:val="004E3751"/>
    <w:rsid w:val="005070E2"/>
    <w:rsid w:val="00510CF8"/>
    <w:rsid w:val="00554BA7"/>
    <w:rsid w:val="0056181F"/>
    <w:rsid w:val="00575A29"/>
    <w:rsid w:val="00581B56"/>
    <w:rsid w:val="005F0961"/>
    <w:rsid w:val="00601754"/>
    <w:rsid w:val="00603A68"/>
    <w:rsid w:val="006855A9"/>
    <w:rsid w:val="006A34BE"/>
    <w:rsid w:val="006F3F1C"/>
    <w:rsid w:val="007141F2"/>
    <w:rsid w:val="00727F2A"/>
    <w:rsid w:val="00752034"/>
    <w:rsid w:val="007561D8"/>
    <w:rsid w:val="0077362B"/>
    <w:rsid w:val="00781DFD"/>
    <w:rsid w:val="00791BD1"/>
    <w:rsid w:val="00794C3C"/>
    <w:rsid w:val="00795378"/>
    <w:rsid w:val="00796206"/>
    <w:rsid w:val="007A4B0B"/>
    <w:rsid w:val="007C367E"/>
    <w:rsid w:val="008071C5"/>
    <w:rsid w:val="00825CD6"/>
    <w:rsid w:val="00847E82"/>
    <w:rsid w:val="008A1B00"/>
    <w:rsid w:val="008D2C31"/>
    <w:rsid w:val="008E356E"/>
    <w:rsid w:val="00902C0C"/>
    <w:rsid w:val="00906D34"/>
    <w:rsid w:val="00933DC9"/>
    <w:rsid w:val="00936D4C"/>
    <w:rsid w:val="009523F9"/>
    <w:rsid w:val="00952C50"/>
    <w:rsid w:val="009650DF"/>
    <w:rsid w:val="00980C06"/>
    <w:rsid w:val="0099553B"/>
    <w:rsid w:val="009B1CBB"/>
    <w:rsid w:val="009D7C31"/>
    <w:rsid w:val="00A0516D"/>
    <w:rsid w:val="00A10E00"/>
    <w:rsid w:val="00A470E7"/>
    <w:rsid w:val="00A5116C"/>
    <w:rsid w:val="00AD4F54"/>
    <w:rsid w:val="00AF31B7"/>
    <w:rsid w:val="00B00022"/>
    <w:rsid w:val="00B00526"/>
    <w:rsid w:val="00B13029"/>
    <w:rsid w:val="00B4721D"/>
    <w:rsid w:val="00B51274"/>
    <w:rsid w:val="00B66EAA"/>
    <w:rsid w:val="00B765D5"/>
    <w:rsid w:val="00B8473A"/>
    <w:rsid w:val="00BB12EA"/>
    <w:rsid w:val="00BC60A2"/>
    <w:rsid w:val="00C01052"/>
    <w:rsid w:val="00C21815"/>
    <w:rsid w:val="00C315D2"/>
    <w:rsid w:val="00C353D8"/>
    <w:rsid w:val="00C36D2E"/>
    <w:rsid w:val="00C748E5"/>
    <w:rsid w:val="00C86084"/>
    <w:rsid w:val="00C86679"/>
    <w:rsid w:val="00C87E68"/>
    <w:rsid w:val="00C96C82"/>
    <w:rsid w:val="00CD4D8E"/>
    <w:rsid w:val="00CF5A91"/>
    <w:rsid w:val="00D02BB1"/>
    <w:rsid w:val="00D0513F"/>
    <w:rsid w:val="00D17AC7"/>
    <w:rsid w:val="00D45A74"/>
    <w:rsid w:val="00D7428F"/>
    <w:rsid w:val="00E02AE7"/>
    <w:rsid w:val="00E36719"/>
    <w:rsid w:val="00E86698"/>
    <w:rsid w:val="00EC3746"/>
    <w:rsid w:val="00EC660B"/>
    <w:rsid w:val="00F00A04"/>
    <w:rsid w:val="00F02DDE"/>
    <w:rsid w:val="00F149BF"/>
    <w:rsid w:val="00F52071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070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70E2"/>
  </w:style>
  <w:style w:type="paragraph" w:styleId="ac">
    <w:name w:val="footer"/>
    <w:basedOn w:val="a"/>
    <w:link w:val="ad"/>
    <w:uiPriority w:val="99"/>
    <w:unhideWhenUsed/>
    <w:rsid w:val="005070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Sai Yoshimichi</cp:lastModifiedBy>
  <cp:revision>80</cp:revision>
  <dcterms:created xsi:type="dcterms:W3CDTF">2025-03-11T02:17:00Z</dcterms:created>
  <dcterms:modified xsi:type="dcterms:W3CDTF">2025-05-30T17:10:00Z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