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A0C8F" w14:textId="505BF4A1" w:rsidR="00BA1519" w:rsidRPr="0048459F" w:rsidRDefault="00BA1519" w:rsidP="00BD36CA">
      <w:pPr>
        <w:pStyle w:val="NormalWeb"/>
        <w:spacing w:before="0" w:beforeAutospacing="0" w:after="0" w:afterAutospacing="0"/>
        <w:rPr>
          <w:rFonts w:ascii="Calibri" w:hAnsi="Calibri" w:cs="Calibri"/>
          <w:b/>
          <w:bCs/>
          <w:sz w:val="20"/>
          <w:szCs w:val="20"/>
        </w:rPr>
      </w:pPr>
      <w:r w:rsidRPr="0048459F">
        <w:rPr>
          <w:rStyle w:val="selected"/>
          <w:rFonts w:ascii="Calibri" w:hAnsi="Calibri" w:cs="Calibri"/>
          <w:b/>
          <w:bCs/>
          <w:sz w:val="20"/>
          <w:szCs w:val="20"/>
        </w:rPr>
        <w:t xml:space="preserve">Objective </w:t>
      </w:r>
      <w:r w:rsidR="00490D8D" w:rsidRPr="0048459F">
        <w:rPr>
          <w:rStyle w:val="selected"/>
          <w:rFonts w:ascii="Calibri" w:hAnsi="Calibri" w:cs="Calibri"/>
          <w:b/>
          <w:bCs/>
          <w:sz w:val="20"/>
          <w:szCs w:val="20"/>
        </w:rPr>
        <w:t>S</w:t>
      </w:r>
      <w:r w:rsidRPr="0048459F">
        <w:rPr>
          <w:rStyle w:val="selected"/>
          <w:rFonts w:ascii="Calibri" w:hAnsi="Calibri" w:cs="Calibri"/>
          <w:b/>
          <w:bCs/>
          <w:sz w:val="20"/>
          <w:szCs w:val="20"/>
        </w:rPr>
        <w:t xml:space="preserve">tructured </w:t>
      </w:r>
      <w:r w:rsidR="00490D8D" w:rsidRPr="0048459F">
        <w:rPr>
          <w:rStyle w:val="selected"/>
          <w:rFonts w:ascii="Calibri" w:hAnsi="Calibri" w:cs="Calibri"/>
          <w:b/>
          <w:bCs/>
          <w:sz w:val="20"/>
          <w:szCs w:val="20"/>
        </w:rPr>
        <w:t>P</w:t>
      </w:r>
      <w:r w:rsidRPr="0048459F">
        <w:rPr>
          <w:rStyle w:val="selected"/>
          <w:rFonts w:ascii="Calibri" w:hAnsi="Calibri" w:cs="Calibri"/>
          <w:b/>
          <w:bCs/>
          <w:sz w:val="20"/>
          <w:szCs w:val="20"/>
        </w:rPr>
        <w:t xml:space="preserve">ractical </w:t>
      </w:r>
      <w:r w:rsidR="00490D8D" w:rsidRPr="0048459F">
        <w:rPr>
          <w:rStyle w:val="selected"/>
          <w:rFonts w:ascii="Calibri" w:hAnsi="Calibri" w:cs="Calibri"/>
          <w:b/>
          <w:bCs/>
          <w:sz w:val="20"/>
          <w:szCs w:val="20"/>
        </w:rPr>
        <w:t>E</w:t>
      </w:r>
      <w:r w:rsidRPr="0048459F">
        <w:rPr>
          <w:rStyle w:val="selected"/>
          <w:rFonts w:ascii="Calibri" w:hAnsi="Calibri" w:cs="Calibri"/>
          <w:b/>
          <w:bCs/>
          <w:sz w:val="20"/>
          <w:szCs w:val="20"/>
        </w:rPr>
        <w:t xml:space="preserve">xaminations as an </w:t>
      </w:r>
      <w:r w:rsidR="00490D8D" w:rsidRPr="0048459F">
        <w:rPr>
          <w:rStyle w:val="selected"/>
          <w:rFonts w:ascii="Calibri" w:hAnsi="Calibri" w:cs="Calibri"/>
          <w:b/>
          <w:bCs/>
          <w:sz w:val="20"/>
          <w:szCs w:val="20"/>
        </w:rPr>
        <w:t>I</w:t>
      </w:r>
      <w:r w:rsidRPr="0048459F">
        <w:rPr>
          <w:rStyle w:val="selected"/>
          <w:rFonts w:ascii="Calibri" w:hAnsi="Calibri" w:cs="Calibri"/>
          <w:b/>
          <w:bCs/>
          <w:sz w:val="20"/>
          <w:szCs w:val="20"/>
        </w:rPr>
        <w:t xml:space="preserve">nclusive </w:t>
      </w:r>
      <w:r w:rsidR="00490D8D" w:rsidRPr="0048459F">
        <w:rPr>
          <w:rStyle w:val="selected"/>
          <w:rFonts w:ascii="Calibri" w:hAnsi="Calibri" w:cs="Calibri"/>
          <w:b/>
          <w:bCs/>
          <w:sz w:val="20"/>
          <w:szCs w:val="20"/>
        </w:rPr>
        <w:t>A</w:t>
      </w:r>
      <w:r w:rsidRPr="0048459F">
        <w:rPr>
          <w:rStyle w:val="selected"/>
          <w:rFonts w:ascii="Calibri" w:hAnsi="Calibri" w:cs="Calibri"/>
          <w:b/>
          <w:bCs/>
          <w:sz w:val="20"/>
          <w:szCs w:val="20"/>
        </w:rPr>
        <w:t xml:space="preserve">ssessment </w:t>
      </w:r>
      <w:r w:rsidR="00490D8D" w:rsidRPr="0048459F">
        <w:rPr>
          <w:rStyle w:val="selected"/>
          <w:rFonts w:ascii="Calibri" w:hAnsi="Calibri" w:cs="Calibri"/>
          <w:b/>
          <w:bCs/>
          <w:sz w:val="20"/>
          <w:szCs w:val="20"/>
        </w:rPr>
        <w:t>T</w:t>
      </w:r>
      <w:r w:rsidRPr="0048459F">
        <w:rPr>
          <w:rStyle w:val="selected"/>
          <w:rFonts w:ascii="Calibri" w:hAnsi="Calibri" w:cs="Calibri"/>
          <w:b/>
          <w:bCs/>
          <w:sz w:val="20"/>
          <w:szCs w:val="20"/>
        </w:rPr>
        <w:t xml:space="preserve">ool for </w:t>
      </w:r>
      <w:r w:rsidR="00490D8D" w:rsidRPr="0048459F">
        <w:rPr>
          <w:rStyle w:val="selected"/>
          <w:rFonts w:ascii="Calibri" w:hAnsi="Calibri" w:cs="Calibri"/>
          <w:b/>
          <w:bCs/>
          <w:sz w:val="20"/>
          <w:szCs w:val="20"/>
        </w:rPr>
        <w:t>P</w:t>
      </w:r>
      <w:r w:rsidRPr="0048459F">
        <w:rPr>
          <w:rStyle w:val="selected"/>
          <w:rFonts w:ascii="Calibri" w:hAnsi="Calibri" w:cs="Calibri"/>
          <w:b/>
          <w:bCs/>
          <w:sz w:val="20"/>
          <w:szCs w:val="20"/>
        </w:rPr>
        <w:t xml:space="preserve">harmacology </w:t>
      </w:r>
      <w:r w:rsidR="00490D8D" w:rsidRPr="0048459F">
        <w:rPr>
          <w:rStyle w:val="selected"/>
          <w:rFonts w:ascii="Calibri" w:hAnsi="Calibri" w:cs="Calibri"/>
          <w:b/>
          <w:bCs/>
          <w:sz w:val="20"/>
          <w:szCs w:val="20"/>
        </w:rPr>
        <w:t>C</w:t>
      </w:r>
      <w:r w:rsidRPr="0048459F">
        <w:rPr>
          <w:rStyle w:val="selected"/>
          <w:rFonts w:ascii="Calibri" w:hAnsi="Calibri" w:cs="Calibri"/>
          <w:b/>
          <w:bCs/>
          <w:sz w:val="20"/>
          <w:szCs w:val="20"/>
        </w:rPr>
        <w:t>urricula</w:t>
      </w:r>
      <w:r w:rsidR="00490D8D" w:rsidRPr="0048459F">
        <w:rPr>
          <w:rStyle w:val="selected"/>
          <w:rFonts w:ascii="Calibri" w:hAnsi="Calibri" w:cs="Calibri"/>
          <w:b/>
          <w:bCs/>
          <w:sz w:val="20"/>
          <w:szCs w:val="20"/>
        </w:rPr>
        <w:t>.</w:t>
      </w:r>
    </w:p>
    <w:p w14:paraId="1A1FCF60" w14:textId="56B8D956" w:rsidR="00BD36CA" w:rsidRPr="00BD36CA" w:rsidRDefault="00BA1519" w:rsidP="00BD36CA">
      <w:pPr>
        <w:pStyle w:val="NormalWeb"/>
        <w:spacing w:before="0" w:beforeAutospacing="0" w:after="240" w:afterAutospacing="0"/>
        <w:rPr>
          <w:rFonts w:ascii="Calibri" w:hAnsi="Calibri" w:cs="Calibri"/>
          <w:sz w:val="20"/>
          <w:szCs w:val="20"/>
          <w:lang w:val="en-US"/>
        </w:rPr>
      </w:pPr>
      <w:r w:rsidRPr="00BD36CA">
        <w:rPr>
          <w:rStyle w:val="selected"/>
          <w:rFonts w:ascii="Calibri" w:hAnsi="Calibri" w:cs="Calibri"/>
          <w:sz w:val="20"/>
          <w:szCs w:val="20"/>
        </w:rPr>
        <w:t>Katie Coubrough¹, Kirsty Tinto¹, Maheen Wahid¹, Aidan Seeley</w:t>
      </w:r>
      <w:r w:rsidRPr="00BD36CA">
        <w:rPr>
          <w:rStyle w:val="selected"/>
          <w:rFonts w:ascii="Calibri" w:hAnsi="Calibri" w:cs="Calibri"/>
          <w:sz w:val="20"/>
          <w:szCs w:val="20"/>
        </w:rPr>
        <w:t xml:space="preserve"> </w:t>
      </w:r>
      <w:r w:rsidRPr="00BD36CA">
        <w:rPr>
          <w:rStyle w:val="selected"/>
          <w:rFonts w:ascii="Calibri" w:hAnsi="Calibri" w:cs="Calibri"/>
          <w:sz w:val="20"/>
          <w:szCs w:val="20"/>
        </w:rPr>
        <w:t>², Roisin Kelly-Laubscher</w:t>
      </w:r>
      <w:r w:rsidRPr="00BD36CA">
        <w:rPr>
          <w:rStyle w:val="selected"/>
          <w:rFonts w:ascii="Calibri" w:hAnsi="Calibri" w:cs="Calibri"/>
          <w:sz w:val="20"/>
          <w:szCs w:val="20"/>
          <w:vertAlign w:val="superscript"/>
        </w:rPr>
        <w:t>3</w:t>
      </w:r>
      <w:r w:rsidRPr="00BD36CA">
        <w:rPr>
          <w:rStyle w:val="selected"/>
          <w:rFonts w:ascii="Calibri" w:hAnsi="Calibri" w:cs="Calibri"/>
          <w:sz w:val="20"/>
          <w:szCs w:val="20"/>
        </w:rPr>
        <w:t xml:space="preserve"> &amp; Margaret Cunningham¹ </w:t>
      </w:r>
      <w:r w:rsidRPr="00BD36CA">
        <w:rPr>
          <w:rFonts w:ascii="Calibri" w:hAnsi="Calibri" w:cs="Calibri"/>
          <w:sz w:val="20"/>
          <w:szCs w:val="20"/>
          <w:lang w:val="en-US"/>
        </w:rPr>
        <w:t xml:space="preserve">¹Strathclyde Inst Pharm Biomed Sci, Univ of Strathclyde, Glasgow, UK; ²Swansea Worm </w:t>
      </w:r>
      <w:proofErr w:type="spellStart"/>
      <w:r w:rsidRPr="00BD36CA">
        <w:rPr>
          <w:rFonts w:ascii="Calibri" w:hAnsi="Calibri" w:cs="Calibri"/>
          <w:sz w:val="20"/>
          <w:szCs w:val="20"/>
          <w:lang w:val="en-US"/>
        </w:rPr>
        <w:t>Integ</w:t>
      </w:r>
      <w:proofErr w:type="spellEnd"/>
      <w:r w:rsidRPr="00BD36CA">
        <w:rPr>
          <w:rFonts w:ascii="Calibri" w:hAnsi="Calibri" w:cs="Calibri"/>
          <w:sz w:val="20"/>
          <w:szCs w:val="20"/>
          <w:lang w:val="en-US"/>
        </w:rPr>
        <w:t xml:space="preserve"> Res Lab, Swansea Univ Med Sch, Swansea, UK; ³Dept of </w:t>
      </w:r>
      <w:proofErr w:type="spellStart"/>
      <w:r w:rsidRPr="00BD36CA">
        <w:rPr>
          <w:rFonts w:ascii="Calibri" w:hAnsi="Calibri" w:cs="Calibri"/>
          <w:sz w:val="20"/>
          <w:szCs w:val="20"/>
          <w:lang w:val="en-US"/>
        </w:rPr>
        <w:t>Pharmacol</w:t>
      </w:r>
      <w:proofErr w:type="spellEnd"/>
      <w:r w:rsidRPr="00BD36CA">
        <w:rPr>
          <w:rFonts w:ascii="Calibri" w:hAnsi="Calibri" w:cs="Calibri"/>
          <w:sz w:val="20"/>
          <w:szCs w:val="20"/>
          <w:lang w:val="en-US"/>
        </w:rPr>
        <w:t xml:space="preserve"> &amp; Therapeutics, Univ Coll Cork, Cork, Ireland</w:t>
      </w:r>
    </w:p>
    <w:p w14:paraId="0D5D336F" w14:textId="6BED105B" w:rsidR="00BA1519" w:rsidRPr="00BD36CA" w:rsidRDefault="00BA1519" w:rsidP="00BD36CA">
      <w:pPr>
        <w:pStyle w:val="NormalWeb"/>
        <w:spacing w:before="0" w:beforeAutospacing="0" w:after="0" w:afterAutospacing="0"/>
        <w:jc w:val="both"/>
        <w:rPr>
          <w:rFonts w:ascii="Calibri" w:hAnsi="Calibri" w:cs="Calibri"/>
          <w:sz w:val="20"/>
          <w:szCs w:val="20"/>
        </w:rPr>
      </w:pPr>
      <w:r w:rsidRPr="00BD36CA">
        <w:rPr>
          <w:rStyle w:val="selected"/>
          <w:rFonts w:ascii="Calibri" w:hAnsi="Calibri" w:cs="Calibri"/>
          <w:b/>
          <w:bCs/>
          <w:sz w:val="20"/>
          <w:szCs w:val="20"/>
        </w:rPr>
        <w:t>Introduction</w:t>
      </w:r>
      <w:r w:rsidR="00171CE3">
        <w:rPr>
          <w:rStyle w:val="selected"/>
          <w:rFonts w:ascii="Calibri" w:hAnsi="Calibri" w:cs="Calibri"/>
          <w:b/>
          <w:bCs/>
          <w:sz w:val="20"/>
          <w:szCs w:val="20"/>
        </w:rPr>
        <w:t>.</w:t>
      </w:r>
      <w:r w:rsidRPr="00BD36CA">
        <w:rPr>
          <w:rStyle w:val="selected"/>
          <w:rFonts w:ascii="Calibri" w:hAnsi="Calibri" w:cs="Calibri"/>
          <w:sz w:val="20"/>
          <w:szCs w:val="20"/>
        </w:rPr>
        <w:t xml:space="preserve"> This project investigates the learning benefits of a co-designed, inclusive Objective Structured Practical Examination (OSPE) within a second-year biomolecular integrative pharmacology course. Our work is framed by the principles of inclusive education, recognising the critical need for equitable learning environments in STEM fields as student populations become more diverse </w:t>
      </w:r>
      <w:r w:rsidR="00781FB2">
        <w:rPr>
          <w:rStyle w:val="selected"/>
          <w:rFonts w:ascii="Calibri" w:hAnsi="Calibri" w:cs="Calibri"/>
          <w:sz w:val="20"/>
          <w:szCs w:val="20"/>
        </w:rPr>
        <w:fldChar w:fldCharType="begin"/>
      </w:r>
      <w:r w:rsidR="00781FB2">
        <w:rPr>
          <w:rStyle w:val="selected"/>
          <w:rFonts w:ascii="Calibri" w:hAnsi="Calibri" w:cs="Calibri"/>
          <w:sz w:val="20"/>
          <w:szCs w:val="20"/>
        </w:rPr>
        <w:instrText xml:space="preserve"> ADDIN EN.CITE &lt;EndNote&gt;&lt;Cite&gt;&lt;Author&gt;Batty&lt;/Author&gt;&lt;Year&gt;2023&lt;/Year&gt;&lt;RecNum&gt;5&lt;/RecNum&gt;&lt;DisplayText&gt;(Batty &amp;amp; and Reilly, 2023)&lt;/DisplayText&gt;&lt;record&gt;&lt;rec-number&gt;5&lt;/rec-number&gt;&lt;foreign-keys&gt;&lt;key app="EN" db-id="rpsrwxz955fwftetd04xzwaqad5azsdws9de" timestamp="1750933553" guid="eb576443-4f9d-40cb-aa4b-5deaf4a4d2c3"&gt;5&lt;/key&gt;&lt;/foreign-keys&gt;&lt;ref-type name="Journal Article"&gt;17&lt;/ref-type&gt;&lt;contributors&gt;&lt;authors&gt;&lt;author&gt;Batty, Lesley&lt;/author&gt;&lt;author&gt;and Reilly, Katie&lt;/author&gt;&lt;/authors&gt;&lt;/contributors&gt;&lt;titles&gt;&lt;title&gt;Understanding barriers to participation within undergraduate STEM laboratories: towards development of an inclusive curriculum&lt;/title&gt;&lt;secondary-title&gt;Journal of Biological Education&lt;/secondary-title&gt;&lt;/titles&gt;&lt;periodical&gt;&lt;full-title&gt;Journal of Biological Education&lt;/full-title&gt;&lt;/periodical&gt;&lt;pages&gt;1147-1169&lt;/pages&gt;&lt;volume&gt;57&lt;/volume&gt;&lt;number&gt;5&lt;/number&gt;&lt;dates&gt;&lt;year&gt;2023&lt;/year&gt;&lt;pub-dates&gt;&lt;date&gt;2023/10/20&lt;/date&gt;&lt;/pub-dates&gt;&lt;/dates&gt;&lt;publisher&gt;Routledge&lt;/publisher&gt;&lt;isbn&gt;0021-9266&lt;/isbn&gt;&lt;urls&gt;&lt;related-urls&gt;&lt;url&gt;https://doi.org/10.1080/00219266.2021.2012227&lt;/url&gt;&lt;/related-urls&gt;&lt;/urls&gt;&lt;electronic-resource-num&gt;10.1080/00219266.2021.2012227&lt;/electronic-resource-num&gt;&lt;/record&gt;&lt;/Cite&gt;&lt;/EndNote&gt;</w:instrText>
      </w:r>
      <w:r w:rsidR="00781FB2">
        <w:rPr>
          <w:rStyle w:val="selected"/>
          <w:rFonts w:ascii="Calibri" w:hAnsi="Calibri" w:cs="Calibri"/>
          <w:sz w:val="20"/>
          <w:szCs w:val="20"/>
        </w:rPr>
        <w:fldChar w:fldCharType="separate"/>
      </w:r>
      <w:r w:rsidR="00781FB2">
        <w:rPr>
          <w:rStyle w:val="selected"/>
          <w:rFonts w:ascii="Calibri" w:hAnsi="Calibri" w:cs="Calibri"/>
          <w:noProof/>
          <w:sz w:val="20"/>
          <w:szCs w:val="20"/>
        </w:rPr>
        <w:t>(Batty &amp; and Reilly, 2023)</w:t>
      </w:r>
      <w:r w:rsidR="00781FB2">
        <w:rPr>
          <w:rStyle w:val="selected"/>
          <w:rFonts w:ascii="Calibri" w:hAnsi="Calibri" w:cs="Calibri"/>
          <w:sz w:val="20"/>
          <w:szCs w:val="20"/>
        </w:rPr>
        <w:fldChar w:fldCharType="end"/>
      </w:r>
      <w:r w:rsidRPr="00BD36CA">
        <w:rPr>
          <w:rStyle w:val="selected"/>
          <w:rFonts w:ascii="Calibri" w:hAnsi="Calibri" w:cs="Calibri"/>
          <w:sz w:val="20"/>
          <w:szCs w:val="20"/>
        </w:rPr>
        <w:t xml:space="preserve">. </w:t>
      </w:r>
    </w:p>
    <w:p w14:paraId="79F4A7E1" w14:textId="19B91409" w:rsidR="00BA1519" w:rsidRPr="00BD36CA" w:rsidRDefault="00BA1519" w:rsidP="00BD36CA">
      <w:pPr>
        <w:pStyle w:val="NormalWeb"/>
        <w:spacing w:before="0" w:beforeAutospacing="0" w:after="0" w:afterAutospacing="0"/>
        <w:jc w:val="both"/>
        <w:rPr>
          <w:rFonts w:ascii="Calibri" w:hAnsi="Calibri" w:cs="Calibri"/>
          <w:sz w:val="20"/>
          <w:szCs w:val="20"/>
        </w:rPr>
      </w:pPr>
      <w:r w:rsidRPr="00BD36CA">
        <w:rPr>
          <w:rStyle w:val="selected"/>
          <w:rFonts w:ascii="Calibri" w:hAnsi="Calibri" w:cs="Calibri"/>
          <w:b/>
          <w:bCs/>
          <w:sz w:val="20"/>
          <w:szCs w:val="20"/>
        </w:rPr>
        <w:t>Aims</w:t>
      </w:r>
      <w:r w:rsidR="00171CE3">
        <w:rPr>
          <w:rStyle w:val="selected"/>
          <w:rFonts w:ascii="Calibri" w:hAnsi="Calibri" w:cs="Calibri"/>
          <w:b/>
          <w:bCs/>
          <w:sz w:val="20"/>
          <w:szCs w:val="20"/>
        </w:rPr>
        <w:t>.</w:t>
      </w:r>
      <w:r w:rsidRPr="00BD36CA">
        <w:rPr>
          <w:rStyle w:val="selected"/>
          <w:rFonts w:ascii="Calibri" w:hAnsi="Calibri" w:cs="Calibri"/>
          <w:sz w:val="20"/>
          <w:szCs w:val="20"/>
        </w:rPr>
        <w:t xml:space="preserve"> We aimed to demonstrat</w:t>
      </w:r>
      <w:r w:rsidR="00AA6A20">
        <w:rPr>
          <w:rStyle w:val="selected"/>
          <w:rFonts w:ascii="Calibri" w:hAnsi="Calibri" w:cs="Calibri"/>
          <w:sz w:val="20"/>
          <w:szCs w:val="20"/>
        </w:rPr>
        <w:t>e</w:t>
      </w:r>
      <w:r w:rsidRPr="00BD36CA">
        <w:rPr>
          <w:rStyle w:val="selected"/>
          <w:rFonts w:ascii="Calibri" w:hAnsi="Calibri" w:cs="Calibri"/>
          <w:sz w:val="20"/>
          <w:szCs w:val="20"/>
        </w:rPr>
        <w:t xml:space="preserve"> how an </w:t>
      </w:r>
      <w:r w:rsidR="00EB0DC3">
        <w:rPr>
          <w:rStyle w:val="selected"/>
          <w:rFonts w:ascii="Calibri" w:hAnsi="Calibri" w:cs="Calibri"/>
          <w:sz w:val="20"/>
          <w:szCs w:val="20"/>
        </w:rPr>
        <w:t xml:space="preserve">OSPE can be used as an </w:t>
      </w:r>
      <w:r w:rsidRPr="00BD36CA">
        <w:rPr>
          <w:rStyle w:val="selected"/>
          <w:rFonts w:ascii="Calibri" w:hAnsi="Calibri" w:cs="Calibri"/>
          <w:sz w:val="20"/>
          <w:szCs w:val="20"/>
        </w:rPr>
        <w:t xml:space="preserve">inclusive assessment tool </w:t>
      </w:r>
      <w:r w:rsidR="00EB0DC3">
        <w:rPr>
          <w:rStyle w:val="selected"/>
          <w:rFonts w:ascii="Calibri" w:hAnsi="Calibri" w:cs="Calibri"/>
          <w:sz w:val="20"/>
          <w:szCs w:val="20"/>
        </w:rPr>
        <w:t>to</w:t>
      </w:r>
      <w:r w:rsidRPr="00BD36CA">
        <w:rPr>
          <w:rStyle w:val="selected"/>
          <w:rFonts w:ascii="Calibri" w:hAnsi="Calibri" w:cs="Calibri"/>
          <w:sz w:val="20"/>
          <w:szCs w:val="20"/>
        </w:rPr>
        <w:t xml:space="preserve"> </w:t>
      </w:r>
      <w:r w:rsidR="00AA6A20">
        <w:rPr>
          <w:rStyle w:val="selected"/>
          <w:rFonts w:ascii="Calibri" w:hAnsi="Calibri" w:cs="Calibri"/>
          <w:sz w:val="20"/>
          <w:szCs w:val="20"/>
        </w:rPr>
        <w:t xml:space="preserve">effectively assess practical skills and </w:t>
      </w:r>
      <w:r w:rsidRPr="00BD36CA">
        <w:rPr>
          <w:rStyle w:val="selected"/>
          <w:rFonts w:ascii="Calibri" w:hAnsi="Calibri" w:cs="Calibri"/>
          <w:sz w:val="20"/>
          <w:szCs w:val="20"/>
        </w:rPr>
        <w:t>identify knowledge gap</w:t>
      </w:r>
      <w:r w:rsidR="00AA6A20">
        <w:rPr>
          <w:rStyle w:val="selected"/>
          <w:rFonts w:ascii="Calibri" w:hAnsi="Calibri" w:cs="Calibri"/>
          <w:sz w:val="20"/>
          <w:szCs w:val="20"/>
        </w:rPr>
        <w:t xml:space="preserve">s to enhance </w:t>
      </w:r>
      <w:r w:rsidR="00B11D10">
        <w:rPr>
          <w:rStyle w:val="selected"/>
          <w:rFonts w:ascii="Calibri" w:hAnsi="Calibri" w:cs="Calibri"/>
          <w:sz w:val="20"/>
          <w:szCs w:val="20"/>
        </w:rPr>
        <w:t xml:space="preserve">the </w:t>
      </w:r>
      <w:r w:rsidR="00AA6A20">
        <w:rPr>
          <w:rStyle w:val="selected"/>
          <w:rFonts w:ascii="Calibri" w:hAnsi="Calibri" w:cs="Calibri"/>
          <w:sz w:val="20"/>
          <w:szCs w:val="20"/>
        </w:rPr>
        <w:t>overall student experience</w:t>
      </w:r>
      <w:r w:rsidRPr="00BD36CA">
        <w:rPr>
          <w:rStyle w:val="selected"/>
          <w:rFonts w:ascii="Calibri" w:hAnsi="Calibri" w:cs="Calibri"/>
          <w:sz w:val="20"/>
          <w:szCs w:val="20"/>
        </w:rPr>
        <w:t>.</w:t>
      </w:r>
    </w:p>
    <w:p w14:paraId="2B0E8195" w14:textId="6A9A6977" w:rsidR="00BA1519" w:rsidRPr="00BD36CA" w:rsidRDefault="00BA1519" w:rsidP="00BD36CA">
      <w:pPr>
        <w:pStyle w:val="NormalWeb"/>
        <w:spacing w:before="0" w:beforeAutospacing="0" w:after="0" w:afterAutospacing="0"/>
        <w:jc w:val="both"/>
        <w:rPr>
          <w:rStyle w:val="selected"/>
          <w:rFonts w:ascii="Calibri" w:hAnsi="Calibri" w:cs="Calibri"/>
          <w:sz w:val="20"/>
          <w:szCs w:val="20"/>
        </w:rPr>
      </w:pPr>
      <w:r w:rsidRPr="00BD36CA">
        <w:rPr>
          <w:rStyle w:val="selected"/>
          <w:rFonts w:ascii="Calibri" w:hAnsi="Calibri" w:cs="Calibri"/>
          <w:b/>
          <w:bCs/>
          <w:sz w:val="20"/>
          <w:szCs w:val="20"/>
        </w:rPr>
        <w:t>Methods</w:t>
      </w:r>
      <w:r w:rsidR="00171CE3">
        <w:rPr>
          <w:rStyle w:val="selected"/>
          <w:rFonts w:ascii="Calibri" w:hAnsi="Calibri" w:cs="Calibri"/>
          <w:b/>
          <w:bCs/>
          <w:sz w:val="20"/>
          <w:szCs w:val="20"/>
        </w:rPr>
        <w:t>.</w:t>
      </w:r>
      <w:r w:rsidRPr="00BD36CA">
        <w:rPr>
          <w:rStyle w:val="selected"/>
          <w:rFonts w:ascii="Calibri" w:hAnsi="Calibri" w:cs="Calibri"/>
          <w:sz w:val="20"/>
          <w:szCs w:val="20"/>
        </w:rPr>
        <w:t xml:space="preserve"> The OSPE was implemented as an informal, summative assessment for our second-year Introduction to Pharmacology cohort. </w:t>
      </w:r>
      <w:r w:rsidR="00C074F7" w:rsidRPr="00C074F7">
        <w:rPr>
          <w:rFonts w:ascii="Calibri" w:hAnsi="Calibri" w:cs="Calibri"/>
          <w:sz w:val="20"/>
          <w:szCs w:val="20"/>
          <w:lang w:val="en-US"/>
        </w:rPr>
        <w:t>To accommodate 140-180 students, a five-stage stationary OSPE was developed with individual trays of materials. A 'circle if unsure' option was included to reduce anxiety.</w:t>
      </w:r>
      <w:r w:rsidR="00C074F7">
        <w:rPr>
          <w:rFonts w:ascii="Calibri" w:hAnsi="Calibri" w:cs="Calibri"/>
          <w:sz w:val="20"/>
          <w:szCs w:val="20"/>
          <w:lang w:val="en-US"/>
        </w:rPr>
        <w:t xml:space="preserve"> </w:t>
      </w:r>
      <w:r w:rsidRPr="00BD36CA">
        <w:rPr>
          <w:rStyle w:val="selected"/>
          <w:rFonts w:ascii="Calibri" w:hAnsi="Calibri" w:cs="Calibri"/>
          <w:sz w:val="20"/>
          <w:szCs w:val="20"/>
        </w:rPr>
        <w:t xml:space="preserve">We used a mixed-methods approach, combining quantitative performance data and qualitative insights (thematic analysis </w:t>
      </w:r>
      <w:r w:rsidR="00490D8D">
        <w:rPr>
          <w:rStyle w:val="selected"/>
          <w:rFonts w:ascii="Calibri" w:hAnsi="Calibri" w:cs="Calibri"/>
          <w:sz w:val="20"/>
          <w:szCs w:val="20"/>
        </w:rPr>
        <w:t>(Braun V et al., 2006)</w:t>
      </w:r>
      <w:r w:rsidR="00435DA9">
        <w:rPr>
          <w:rStyle w:val="selected"/>
          <w:rFonts w:ascii="Calibri" w:hAnsi="Calibri" w:cs="Calibri"/>
          <w:sz w:val="20"/>
          <w:szCs w:val="20"/>
        </w:rPr>
        <w:t>)</w:t>
      </w:r>
      <w:r w:rsidRPr="00BD36CA">
        <w:rPr>
          <w:rStyle w:val="selected"/>
          <w:rFonts w:ascii="Calibri" w:hAnsi="Calibri" w:cs="Calibri"/>
          <w:sz w:val="20"/>
          <w:szCs w:val="20"/>
        </w:rPr>
        <w:t>.</w:t>
      </w:r>
    </w:p>
    <w:p w14:paraId="39D96710" w14:textId="09DCC93F" w:rsidR="00BA1519" w:rsidRPr="00BD36CA" w:rsidRDefault="00BA1519" w:rsidP="00BD36CA">
      <w:pPr>
        <w:pStyle w:val="NormalWeb"/>
        <w:spacing w:before="0" w:beforeAutospacing="0" w:after="0" w:afterAutospacing="0"/>
        <w:jc w:val="both"/>
        <w:rPr>
          <w:rFonts w:ascii="Calibri" w:hAnsi="Calibri" w:cs="Calibri"/>
          <w:sz w:val="20"/>
          <w:szCs w:val="20"/>
        </w:rPr>
      </w:pPr>
      <w:r w:rsidRPr="00BD36CA">
        <w:rPr>
          <w:rStyle w:val="selected"/>
          <w:rFonts w:ascii="Calibri" w:hAnsi="Calibri" w:cs="Calibri"/>
          <w:b/>
          <w:bCs/>
          <w:sz w:val="20"/>
          <w:szCs w:val="20"/>
        </w:rPr>
        <w:t>Results</w:t>
      </w:r>
      <w:r w:rsidR="00171CE3">
        <w:rPr>
          <w:rStyle w:val="selected"/>
          <w:rFonts w:ascii="Calibri" w:hAnsi="Calibri" w:cs="Calibri"/>
          <w:b/>
          <w:bCs/>
          <w:sz w:val="20"/>
          <w:szCs w:val="20"/>
        </w:rPr>
        <w:t>.</w:t>
      </w:r>
      <w:r w:rsidRPr="00BD36CA">
        <w:rPr>
          <w:rStyle w:val="selected"/>
          <w:rFonts w:ascii="Calibri" w:hAnsi="Calibri" w:cs="Calibri"/>
          <w:sz w:val="20"/>
          <w:szCs w:val="20"/>
        </w:rPr>
        <w:t xml:space="preserve"> </w:t>
      </w:r>
      <w:r w:rsidR="00490D8D" w:rsidRPr="00490D8D">
        <w:rPr>
          <w:rFonts w:ascii="Calibri" w:hAnsi="Calibri" w:cs="Calibri"/>
          <w:sz w:val="20"/>
          <w:szCs w:val="20"/>
          <w:lang w:val="en-US"/>
        </w:rPr>
        <w:t>In our five-stage OSPE, 98% (n=151) of students were competent in pipetting, but performance progressively declined with task complexity. Pass rates for calculations (66.5%) and serial dilutions (67.5%) were lower, with students indicating uncertainty. Conceptual understanding of drug potency was most challenging, with a pass rate of only 47.2%. The lowest success rate (42.2%) was in the final integrated data interpretation and practical skills stage. These findings highlight a progressive decline in competence as tasks increased in complexity, reinforcing the need for targeted support in quantitative and conceptual pharmacology.</w:t>
      </w:r>
    </w:p>
    <w:p w14:paraId="5E9E5F99" w14:textId="6730A3DE" w:rsidR="00171CE3" w:rsidRDefault="00BA1519" w:rsidP="00BD36CA">
      <w:pPr>
        <w:pStyle w:val="NormalWeb"/>
        <w:spacing w:before="0" w:beforeAutospacing="0" w:after="0" w:afterAutospacing="0"/>
        <w:jc w:val="both"/>
        <w:rPr>
          <w:rStyle w:val="selected"/>
          <w:rFonts w:ascii="Calibri" w:hAnsi="Calibri" w:cs="Calibri"/>
          <w:sz w:val="20"/>
          <w:szCs w:val="20"/>
        </w:rPr>
      </w:pPr>
      <w:r w:rsidRPr="00BD36CA">
        <w:rPr>
          <w:rStyle w:val="selected"/>
          <w:rFonts w:ascii="Calibri" w:hAnsi="Calibri" w:cs="Calibri"/>
          <w:b/>
          <w:bCs/>
          <w:sz w:val="20"/>
          <w:szCs w:val="20"/>
        </w:rPr>
        <w:t>Discussion</w:t>
      </w:r>
      <w:r w:rsidR="00171CE3">
        <w:rPr>
          <w:rStyle w:val="selected"/>
          <w:rFonts w:ascii="Calibri" w:hAnsi="Calibri" w:cs="Calibri"/>
          <w:b/>
          <w:bCs/>
          <w:sz w:val="20"/>
          <w:szCs w:val="20"/>
        </w:rPr>
        <w:t>.</w:t>
      </w:r>
      <w:r w:rsidRPr="00BD36CA">
        <w:rPr>
          <w:rStyle w:val="selected"/>
          <w:rFonts w:ascii="Calibri" w:hAnsi="Calibri" w:cs="Calibri"/>
          <w:sz w:val="20"/>
          <w:szCs w:val="20"/>
        </w:rPr>
        <w:t xml:space="preserve"> The OSPE proved to be a</w:t>
      </w:r>
      <w:r w:rsidR="00BD36CA" w:rsidRPr="00BD36CA">
        <w:rPr>
          <w:rStyle w:val="selected"/>
          <w:rFonts w:ascii="Calibri" w:hAnsi="Calibri" w:cs="Calibri"/>
          <w:sz w:val="20"/>
          <w:szCs w:val="20"/>
        </w:rPr>
        <w:t xml:space="preserve">n effective </w:t>
      </w:r>
      <w:r w:rsidRPr="00BD36CA">
        <w:rPr>
          <w:rStyle w:val="selected"/>
          <w:rFonts w:ascii="Calibri" w:hAnsi="Calibri" w:cs="Calibri"/>
          <w:sz w:val="20"/>
          <w:szCs w:val="20"/>
        </w:rPr>
        <w:t>tool for identifying a wide range of misunderstandings, which is essential for refining future curriculum strategies. Our use of thematic analysis to interpret student performance offer</w:t>
      </w:r>
      <w:r w:rsidR="00BD36CA" w:rsidRPr="00BD36CA">
        <w:rPr>
          <w:rStyle w:val="selected"/>
          <w:rFonts w:ascii="Calibri" w:hAnsi="Calibri" w:cs="Calibri"/>
          <w:sz w:val="20"/>
          <w:szCs w:val="20"/>
        </w:rPr>
        <w:t>s</w:t>
      </w:r>
      <w:r w:rsidRPr="00BD36CA">
        <w:rPr>
          <w:rStyle w:val="selected"/>
          <w:rFonts w:ascii="Calibri" w:hAnsi="Calibri" w:cs="Calibri"/>
          <w:sz w:val="20"/>
          <w:szCs w:val="20"/>
        </w:rPr>
        <w:t xml:space="preserve"> a framework for translating complex assessment data into actionable pedagogical insights. This work develops existing teaching theory by demonstrating the effectiveness of OSPEs in a non-clinical, practical science setting.</w:t>
      </w:r>
    </w:p>
    <w:p w14:paraId="45D8E299" w14:textId="4AE92796" w:rsidR="00AB17AA" w:rsidRPr="00781FB2" w:rsidRDefault="00781FB2" w:rsidP="00BD36CA">
      <w:pPr>
        <w:pStyle w:val="NormalWeb"/>
        <w:spacing w:before="0" w:beforeAutospacing="0" w:after="0" w:afterAutospacing="0"/>
        <w:jc w:val="both"/>
        <w:rPr>
          <w:rStyle w:val="selected"/>
          <w:rFonts w:ascii="Calibri" w:hAnsi="Calibri" w:cs="Calibri"/>
          <w:sz w:val="20"/>
          <w:szCs w:val="20"/>
        </w:rPr>
      </w:pPr>
      <w:r w:rsidRPr="00781FB2">
        <w:rPr>
          <w:rStyle w:val="selected"/>
          <w:rFonts w:ascii="Calibri" w:hAnsi="Calibri" w:cs="Calibri"/>
          <w:sz w:val="20"/>
          <w:szCs w:val="20"/>
        </w:rPr>
        <w:t>Batty L &amp; Reilly K (20</w:t>
      </w:r>
      <w:r>
        <w:rPr>
          <w:rStyle w:val="selected"/>
          <w:rFonts w:ascii="Calibri" w:hAnsi="Calibri" w:cs="Calibri"/>
          <w:sz w:val="20"/>
          <w:szCs w:val="20"/>
        </w:rPr>
        <w:t xml:space="preserve">23) </w:t>
      </w:r>
      <w:r w:rsidRPr="00781FB2">
        <w:rPr>
          <w:rFonts w:ascii="Calibri" w:hAnsi="Calibri" w:cs="Calibri"/>
          <w:iCs/>
          <w:noProof/>
          <w:sz w:val="20"/>
          <w:szCs w:val="20"/>
          <w:lang w:val="en-US"/>
        </w:rPr>
        <w:t>57(5), 1147-1169</w:t>
      </w:r>
    </w:p>
    <w:p w14:paraId="741789A5" w14:textId="2B1A2464" w:rsidR="007F6F20" w:rsidRPr="00244875" w:rsidRDefault="00BD36CA" w:rsidP="00244875">
      <w:pPr>
        <w:pStyle w:val="NormalWeb"/>
        <w:spacing w:before="0" w:beforeAutospacing="0" w:after="0" w:afterAutospacing="0"/>
        <w:jc w:val="both"/>
        <w:rPr>
          <w:rFonts w:ascii="Calibri" w:hAnsi="Calibri" w:cs="Calibri"/>
          <w:sz w:val="20"/>
          <w:szCs w:val="20"/>
        </w:rPr>
      </w:pPr>
      <w:r w:rsidRPr="00781FB2">
        <w:rPr>
          <w:rStyle w:val="selected"/>
          <w:rFonts w:ascii="Calibri" w:hAnsi="Calibri" w:cs="Calibri"/>
          <w:sz w:val="20"/>
          <w:szCs w:val="20"/>
        </w:rPr>
        <w:t xml:space="preserve">Braun V et al (2006) </w:t>
      </w:r>
      <w:r w:rsidRPr="00781FB2">
        <w:rPr>
          <w:rStyle w:val="selected"/>
          <w:rFonts w:ascii="Calibri" w:hAnsi="Calibri" w:cs="Calibri"/>
          <w:sz w:val="20"/>
          <w:szCs w:val="20"/>
        </w:rPr>
        <w:t>3(2): 77-101.</w:t>
      </w:r>
    </w:p>
    <w:sectPr w:rsidR="007F6F20" w:rsidRPr="00244875"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73E29"/>
    <w:multiLevelType w:val="multilevel"/>
    <w:tmpl w:val="F50EA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7782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srwxz955fwftetd04xzwaqad5azsdws9de&quot;&gt;PhD Endnote Library&lt;record-ids&gt;&lt;item&gt;5&lt;/item&gt;&lt;/record-ids&gt;&lt;/item&gt;&lt;/Libraries&gt;"/>
  </w:docVars>
  <w:rsids>
    <w:rsidRoot w:val="002226BB"/>
    <w:rsid w:val="000A4FA6"/>
    <w:rsid w:val="000C677E"/>
    <w:rsid w:val="00111077"/>
    <w:rsid w:val="00142AF6"/>
    <w:rsid w:val="00171CE3"/>
    <w:rsid w:val="002272B0"/>
    <w:rsid w:val="00244875"/>
    <w:rsid w:val="002637A4"/>
    <w:rsid w:val="00293C6D"/>
    <w:rsid w:val="00300B92"/>
    <w:rsid w:val="003170B0"/>
    <w:rsid w:val="00323731"/>
    <w:rsid w:val="003238D9"/>
    <w:rsid w:val="0035403F"/>
    <w:rsid w:val="00370221"/>
    <w:rsid w:val="00387491"/>
    <w:rsid w:val="003B21FD"/>
    <w:rsid w:val="004064CC"/>
    <w:rsid w:val="00433B97"/>
    <w:rsid w:val="00435DA9"/>
    <w:rsid w:val="00444224"/>
    <w:rsid w:val="00483B05"/>
    <w:rsid w:val="0048459F"/>
    <w:rsid w:val="00490D8D"/>
    <w:rsid w:val="004C304C"/>
    <w:rsid w:val="004C4C2C"/>
    <w:rsid w:val="004E28B9"/>
    <w:rsid w:val="004E50FC"/>
    <w:rsid w:val="004E5450"/>
    <w:rsid w:val="005216D4"/>
    <w:rsid w:val="005260A0"/>
    <w:rsid w:val="005541E9"/>
    <w:rsid w:val="00570A52"/>
    <w:rsid w:val="0059609A"/>
    <w:rsid w:val="00597659"/>
    <w:rsid w:val="005C2BAA"/>
    <w:rsid w:val="005D1700"/>
    <w:rsid w:val="005E48A2"/>
    <w:rsid w:val="005E62BE"/>
    <w:rsid w:val="00641C11"/>
    <w:rsid w:val="0068405F"/>
    <w:rsid w:val="0069603B"/>
    <w:rsid w:val="006D75A9"/>
    <w:rsid w:val="00710C3C"/>
    <w:rsid w:val="00711813"/>
    <w:rsid w:val="00724E3C"/>
    <w:rsid w:val="00726BE3"/>
    <w:rsid w:val="0074186B"/>
    <w:rsid w:val="00743C46"/>
    <w:rsid w:val="00760B17"/>
    <w:rsid w:val="00760DC9"/>
    <w:rsid w:val="0076396A"/>
    <w:rsid w:val="00781FB2"/>
    <w:rsid w:val="00796479"/>
    <w:rsid w:val="007D5DB9"/>
    <w:rsid w:val="007F6F20"/>
    <w:rsid w:val="007F7ED4"/>
    <w:rsid w:val="00811B3D"/>
    <w:rsid w:val="00812E11"/>
    <w:rsid w:val="008665C2"/>
    <w:rsid w:val="00871E5A"/>
    <w:rsid w:val="00874866"/>
    <w:rsid w:val="00885303"/>
    <w:rsid w:val="008909C9"/>
    <w:rsid w:val="00892C81"/>
    <w:rsid w:val="008B68DA"/>
    <w:rsid w:val="008B6C43"/>
    <w:rsid w:val="008E6485"/>
    <w:rsid w:val="008F2C5B"/>
    <w:rsid w:val="009132D3"/>
    <w:rsid w:val="00934A27"/>
    <w:rsid w:val="00947B77"/>
    <w:rsid w:val="00955126"/>
    <w:rsid w:val="009745B4"/>
    <w:rsid w:val="00976AA2"/>
    <w:rsid w:val="009E2228"/>
    <w:rsid w:val="009F06D6"/>
    <w:rsid w:val="00A266B4"/>
    <w:rsid w:val="00A3643A"/>
    <w:rsid w:val="00A44C47"/>
    <w:rsid w:val="00A70BC9"/>
    <w:rsid w:val="00A71DEF"/>
    <w:rsid w:val="00A864A6"/>
    <w:rsid w:val="00A95972"/>
    <w:rsid w:val="00AA55CA"/>
    <w:rsid w:val="00AA6A20"/>
    <w:rsid w:val="00AB17AA"/>
    <w:rsid w:val="00AC6830"/>
    <w:rsid w:val="00AD774E"/>
    <w:rsid w:val="00AE2DA6"/>
    <w:rsid w:val="00B11D10"/>
    <w:rsid w:val="00B547C2"/>
    <w:rsid w:val="00B710A8"/>
    <w:rsid w:val="00B9691C"/>
    <w:rsid w:val="00BA1519"/>
    <w:rsid w:val="00BB12D0"/>
    <w:rsid w:val="00BC5FCC"/>
    <w:rsid w:val="00BD36CA"/>
    <w:rsid w:val="00C074F7"/>
    <w:rsid w:val="00C132EC"/>
    <w:rsid w:val="00C4434E"/>
    <w:rsid w:val="00C5698C"/>
    <w:rsid w:val="00C6014E"/>
    <w:rsid w:val="00C60A71"/>
    <w:rsid w:val="00C914C0"/>
    <w:rsid w:val="00CA2A7A"/>
    <w:rsid w:val="00CC549E"/>
    <w:rsid w:val="00CF6A02"/>
    <w:rsid w:val="00D55F3B"/>
    <w:rsid w:val="00DA2731"/>
    <w:rsid w:val="00DB602F"/>
    <w:rsid w:val="00DE4BD3"/>
    <w:rsid w:val="00E17E0B"/>
    <w:rsid w:val="00E553D6"/>
    <w:rsid w:val="00E64E27"/>
    <w:rsid w:val="00E73EE6"/>
    <w:rsid w:val="00EA1104"/>
    <w:rsid w:val="00EB0DC3"/>
    <w:rsid w:val="00EE410E"/>
    <w:rsid w:val="00EE773C"/>
    <w:rsid w:val="00EF12F3"/>
    <w:rsid w:val="00F02477"/>
    <w:rsid w:val="00F1287D"/>
    <w:rsid w:val="00F430E8"/>
    <w:rsid w:val="00F90F73"/>
    <w:rsid w:val="00F9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A77E6"/>
  <w15:chartTrackingRefBased/>
  <w15:docId w15:val="{D62FBD88-CCC9-B44B-863B-0497791D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paragraph" w:styleId="NormalWeb">
    <w:name w:val="Normal (Web)"/>
    <w:basedOn w:val="Normal"/>
    <w:link w:val="NormalWebChar"/>
    <w:uiPriority w:val="99"/>
    <w:unhideWhenUsed/>
    <w:rsid w:val="00BA1519"/>
    <w:pPr>
      <w:spacing w:before="100" w:beforeAutospacing="1" w:after="100" w:afterAutospacing="1"/>
    </w:pPr>
    <w:rPr>
      <w:lang w:val="en-GB" w:eastAsia="en-GB"/>
    </w:rPr>
  </w:style>
  <w:style w:type="character" w:customStyle="1" w:styleId="selected">
    <w:name w:val="selected"/>
    <w:basedOn w:val="DefaultParagraphFont"/>
    <w:rsid w:val="00BA1519"/>
  </w:style>
  <w:style w:type="paragraph" w:customStyle="1" w:styleId="EndNoteBibliographyTitle">
    <w:name w:val="EndNote Bibliography Title"/>
    <w:basedOn w:val="Normal"/>
    <w:link w:val="EndNoteBibliographyTitleChar"/>
    <w:rsid w:val="00781FB2"/>
    <w:pPr>
      <w:jc w:val="center"/>
    </w:pPr>
  </w:style>
  <w:style w:type="character" w:customStyle="1" w:styleId="NormalWebChar">
    <w:name w:val="Normal (Web) Char"/>
    <w:basedOn w:val="DefaultParagraphFont"/>
    <w:link w:val="NormalWeb"/>
    <w:uiPriority w:val="99"/>
    <w:rsid w:val="00781FB2"/>
    <w:rPr>
      <w:sz w:val="24"/>
      <w:szCs w:val="24"/>
    </w:rPr>
  </w:style>
  <w:style w:type="character" w:customStyle="1" w:styleId="EndNoteBibliographyTitleChar">
    <w:name w:val="EndNote Bibliography Title Char"/>
    <w:basedOn w:val="NormalWebChar"/>
    <w:link w:val="EndNoteBibliographyTitle"/>
    <w:rsid w:val="00781FB2"/>
    <w:rPr>
      <w:sz w:val="24"/>
      <w:szCs w:val="24"/>
      <w:lang w:val="en-US" w:eastAsia="en-US"/>
    </w:rPr>
  </w:style>
  <w:style w:type="paragraph" w:customStyle="1" w:styleId="EndNoteBibliography">
    <w:name w:val="EndNote Bibliography"/>
    <w:basedOn w:val="Normal"/>
    <w:link w:val="EndNoteBibliographyChar"/>
    <w:rsid w:val="00781FB2"/>
    <w:pPr>
      <w:jc w:val="both"/>
    </w:pPr>
  </w:style>
  <w:style w:type="character" w:customStyle="1" w:styleId="EndNoteBibliographyChar">
    <w:name w:val="EndNote Bibliography Char"/>
    <w:basedOn w:val="NormalWebChar"/>
    <w:link w:val="EndNoteBibliography"/>
    <w:rsid w:val="00781FB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1</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3853</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Katie Coubrough</cp:lastModifiedBy>
  <cp:revision>86</cp:revision>
  <cp:lastPrinted>2013-06-13T14:15:00Z</cp:lastPrinted>
  <dcterms:created xsi:type="dcterms:W3CDTF">2025-09-09T19:37:00Z</dcterms:created>
  <dcterms:modified xsi:type="dcterms:W3CDTF">2025-09-15T12:27:00Z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