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35E10D00" w:rsidR="00C315D2" w:rsidRPr="00C315D2" w:rsidRDefault="00497C8F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Shipment Validation of Solid and Suppository Dosage Forms on Non-Cold Chain Finished Products in Pharma Industry</w:t>
      </w:r>
    </w:p>
    <w:p w14:paraId="79141BD9" w14:textId="26C3EBC9" w:rsidR="00C315D2" w:rsidRPr="00C315D2" w:rsidRDefault="00497C8F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97C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Pratami, R. C. J.</w:t>
      </w:r>
      <w:r w:rsidR="00C315D2" w:rsidRPr="00497C8F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FB31C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497C8F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Sasongko L</w:t>
      </w:r>
      <w:r w:rsidR="00FB31CD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08F7FB99" w:rsidR="00C315D2" w:rsidRPr="00C315D2" w:rsidRDefault="00FB31CD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 of Pharmaceutics</w:t>
      </w:r>
      <w:r w:rsidR="00497C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Pharmacy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Institut Teknologi </w:t>
      </w:r>
      <w:r w:rsidR="00497C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Bandung</w:t>
      </w:r>
      <w:r w:rsidRPr="00FB31C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Bandung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97C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Indonesia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47D76891" w14:textId="0EAFCA7E" w:rsidR="00C315D2" w:rsidRPr="00C315D2" w:rsidRDefault="00FB31CD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Validation of Department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PT. Caprifarmindo Laboratories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West </w:t>
      </w:r>
      <w:r w:rsidR="00497C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Bandung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97C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Indonesia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4025C857" w14:textId="56088274" w:rsidR="00292F53" w:rsidRPr="00C315D2" w:rsidRDefault="00292F53" w:rsidP="00292F5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distribution of pharmaceutical products is a crucial stage in the supply chain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While cold chain products are commonly associated with strict temperature controls, non-cold chain products</w:t>
      </w:r>
      <w:r w:rsidR="006219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such as tablets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suppositories</w:t>
      </w:r>
      <w:r w:rsidR="006219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also require careful environmental monitoring, particularly in tropical regions like Indonesia.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istribution validation for non-cold chain products remains limited in practice. To align with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Good Manufacturing Practice 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Good Distribution Practice standards, there is an urgent need to implement distribution validation under realistic transport conditions.</w:t>
      </w:r>
    </w:p>
    <w:p w14:paraId="048391F8" w14:textId="77777777" w:rsidR="00292F53" w:rsidRPr="00C315D2" w:rsidRDefault="00292F53" w:rsidP="00292F53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6837AD6" w14:textId="77777777" w:rsidR="00292F53" w:rsidRPr="00C315D2" w:rsidRDefault="00292F53" w:rsidP="00292F5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study employed an experimental quantitative approach involving real-time distribution of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solid and suppositories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product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Pr="003E29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Worst-case products for each dosage form were selected based on shelf life, storage conditions, and potential degradation risks. Temperature and humidity were monitored using calibrated data loggers during shipment. Post-distribution quality tests were conducted and compared with pre-distribution results to assess product stability.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3D0C2FDF" w14:textId="77777777" w:rsidR="00292F53" w:rsidRPr="00C315D2" w:rsidRDefault="00292F53" w:rsidP="00292F53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17954678" w14:textId="2EB7D652" w:rsidR="00292F53" w:rsidRPr="00C315D2" w:rsidRDefault="00292F53" w:rsidP="00292F53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The distribution route with the highest risk score was identified as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distributor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located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in Manado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City</w:t>
      </w:r>
      <w:r w:rsidR="0062192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(North Sulawesi)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covering 3,289 km over 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23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days via multimodal transport. Temperature profiling identified the hottest point in the container with an average temperature of 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31.50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 °C. During the actual shipment, data logger readings at this critical point recorded an MKT of 31.78 °C, exceeding the WHO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defined Controlled Room Temperature for zone IVb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Post-distribution quality evaluations showed no significant changes in solid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0764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dosage forms. However, suppositories showed physical deformation and reduction of the active substance content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54BD35DF" w14:textId="77777777" w:rsidR="00292F53" w:rsidRDefault="00292F53" w:rsidP="00292F53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9C88267" w14:textId="30CB9D57" w:rsidR="00292F53" w:rsidRPr="00C315D2" w:rsidRDefault="00292F53" w:rsidP="00292F5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07641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This study demonstrates that distribution validation for non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07641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cold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-</w:t>
      </w:r>
      <w:r w:rsidRPr="0007641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chain pharmaceutical products is feasible and effective for formulations stable at ambient temperatures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P</w:t>
      </w:r>
      <w:r w:rsidRPr="0007641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roducts with higher thermal sensitivity, such as lipid-based suppositories, are more susceptible to degradation during shipment and require stricter environmental controls. These findings support the implementation of product-specific distribution strategies, including the potential use of isothermal packaging or partial cold chain systems, particularly for thermolabile dosage forms. 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173DFD2E" w:rsidR="00C315D2" w:rsidRPr="00172611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17261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References:</w:t>
      </w:r>
      <w:r w:rsidRPr="0017261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72611" w:rsidRPr="0017261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authors would like to express their gratitude to the validation, production and quality control departments </w:t>
      </w:r>
      <w:r w:rsidR="00FB31C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of PT. Caprifarmindo Laboratories </w:t>
      </w:r>
      <w:r w:rsidR="00172611" w:rsidRPr="0017261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for their support and cooperation throughout the execution of this study.</w:t>
      </w:r>
    </w:p>
    <w:p w14:paraId="495B1BA5" w14:textId="0FC80326" w:rsidR="00C315D2" w:rsidRPr="00172611" w:rsidRDefault="00C315D2" w:rsidP="00172611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172611"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General Chapter: USP, “</w:t>
      </w:r>
      <w:r w:rsidR="00172611" w:rsidRPr="00172611">
        <w:rPr>
          <w:rFonts w:ascii="Cambria Math" w:eastAsia="Calibri" w:hAnsi="Cambria Math" w:cs="Cambria Math"/>
          <w:bCs/>
          <w:kern w:val="0"/>
          <w:sz w:val="20"/>
          <w:szCs w:val="20"/>
          <w:lang w:val="en-US"/>
          <w14:ligatures w14:val="none"/>
        </w:rPr>
        <w:t>〈</w:t>
      </w:r>
      <w:r w:rsidR="00172611"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1079.2</w:t>
      </w:r>
      <w:r w:rsidR="00172611" w:rsidRPr="00172611">
        <w:rPr>
          <w:rFonts w:ascii="Cambria Math" w:eastAsia="Calibri" w:hAnsi="Cambria Math" w:cs="Cambria Math"/>
          <w:bCs/>
          <w:kern w:val="0"/>
          <w:sz w:val="20"/>
          <w:szCs w:val="20"/>
          <w:lang w:val="en-US"/>
          <w14:ligatures w14:val="none"/>
        </w:rPr>
        <w:t>〉</w:t>
      </w:r>
      <w:r w:rsidR="00172611"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Mean Kinetic Temperature in th Evaluation of Temperature Excursions during Storage and Transportation of Drug Products” Usp-Nf, pp. 2–5, 2025.</w:t>
      </w:r>
    </w:p>
    <w:p w14:paraId="7D6E388F" w14:textId="28AF8B1E" w:rsidR="00113BB7" w:rsidRPr="00172611" w:rsidRDefault="00C315D2" w:rsidP="00172611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172611"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General Chapter: USP, “</w:t>
      </w:r>
      <w:r w:rsidR="00172611" w:rsidRPr="00172611">
        <w:rPr>
          <w:rFonts w:ascii="Cambria Math" w:eastAsia="Calibri" w:hAnsi="Cambria Math" w:cs="Cambria Math"/>
          <w:bCs/>
          <w:kern w:val="0"/>
          <w:sz w:val="20"/>
          <w:szCs w:val="20"/>
          <w:lang w:val="en-US"/>
          <w14:ligatures w14:val="none"/>
        </w:rPr>
        <w:t>〈</w:t>
      </w:r>
      <w:r w:rsidR="00172611"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1079</w:t>
      </w:r>
      <w:r w:rsidR="00172611" w:rsidRPr="00172611">
        <w:rPr>
          <w:rFonts w:ascii="Cambria Math" w:eastAsia="Calibri" w:hAnsi="Cambria Math" w:cs="Cambria Math"/>
          <w:bCs/>
          <w:kern w:val="0"/>
          <w:sz w:val="20"/>
          <w:szCs w:val="20"/>
          <w:lang w:val="en-US"/>
          <w14:ligatures w14:val="none"/>
        </w:rPr>
        <w:t>〉</w:t>
      </w:r>
      <w:r w:rsidR="00172611"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Risks and Mitigation Strategies for the Storage and Transportation of Finished Drug Products,” Usp-Nf 1079, pp. 1–17, 2023.</w:t>
      </w:r>
    </w:p>
    <w:p w14:paraId="1C7DFB3F" w14:textId="0C94D674" w:rsidR="00172611" w:rsidRPr="00172611" w:rsidRDefault="00172611" w:rsidP="00172611">
      <w:pPr>
        <w:spacing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17261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(3) </w:t>
      </w:r>
      <w:r w:rsidRPr="00172611">
        <w:rPr>
          <w:rFonts w:ascii="Arial" w:hAnsi="Arial" w:cs="Arial"/>
          <w:noProof/>
          <w:sz w:val="20"/>
          <w:szCs w:val="20"/>
        </w:rPr>
        <w:t>World Health Organizaton, “Annex 7 Good storage and distribution practices for medical”, 2020.</w:t>
      </w:r>
    </w:p>
    <w:sectPr w:rsidR="00172611" w:rsidRPr="00172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76418"/>
    <w:rsid w:val="00107368"/>
    <w:rsid w:val="00113BB7"/>
    <w:rsid w:val="00165F97"/>
    <w:rsid w:val="00172611"/>
    <w:rsid w:val="002017E6"/>
    <w:rsid w:val="00292F53"/>
    <w:rsid w:val="00294059"/>
    <w:rsid w:val="003206E4"/>
    <w:rsid w:val="003A6D5C"/>
    <w:rsid w:val="003E290E"/>
    <w:rsid w:val="00497C8F"/>
    <w:rsid w:val="004A51B6"/>
    <w:rsid w:val="00510CF8"/>
    <w:rsid w:val="00575A29"/>
    <w:rsid w:val="00601754"/>
    <w:rsid w:val="0062192B"/>
    <w:rsid w:val="006A34BE"/>
    <w:rsid w:val="006F3F1C"/>
    <w:rsid w:val="007141F2"/>
    <w:rsid w:val="007561D8"/>
    <w:rsid w:val="00795378"/>
    <w:rsid w:val="00796206"/>
    <w:rsid w:val="007C367E"/>
    <w:rsid w:val="008071C5"/>
    <w:rsid w:val="00906D34"/>
    <w:rsid w:val="00933DC9"/>
    <w:rsid w:val="00936D4C"/>
    <w:rsid w:val="009523F9"/>
    <w:rsid w:val="009650DF"/>
    <w:rsid w:val="009B1CBB"/>
    <w:rsid w:val="00A0516D"/>
    <w:rsid w:val="00B4721D"/>
    <w:rsid w:val="00B521F7"/>
    <w:rsid w:val="00B8473A"/>
    <w:rsid w:val="00C21815"/>
    <w:rsid w:val="00C315D2"/>
    <w:rsid w:val="00C353D8"/>
    <w:rsid w:val="00CF5A91"/>
    <w:rsid w:val="00D02BB1"/>
    <w:rsid w:val="00D45A74"/>
    <w:rsid w:val="00D7428F"/>
    <w:rsid w:val="00E91EB3"/>
    <w:rsid w:val="00EC3746"/>
    <w:rsid w:val="00F539FB"/>
    <w:rsid w:val="00F85528"/>
    <w:rsid w:val="00FB31CD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Dr. Lucy Dewi Nurhajati Sasongko, M.Si.</cp:lastModifiedBy>
  <cp:revision>2</cp:revision>
  <dcterms:created xsi:type="dcterms:W3CDTF">2025-05-30T13:04:00Z</dcterms:created>
  <dcterms:modified xsi:type="dcterms:W3CDTF">2025-05-30T13:04:00Z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MSIP_Label_38b525e5-f3da-4501-8f1e-526b6769fc56_Enabled">
    <vt:lpwstr>true</vt:lpwstr>
  </property>
  <property fmtid="{D5CDD505-2E9C-101B-9397-08002B2CF9AE}" pid="5" name="MSIP_Label_38b525e5-f3da-4501-8f1e-526b6769fc56_SetDate">
    <vt:lpwstr>2025-05-30T13:04:49Z</vt:lpwstr>
  </property>
  <property fmtid="{D5CDD505-2E9C-101B-9397-08002B2CF9AE}" pid="6" name="MSIP_Label_38b525e5-f3da-4501-8f1e-526b6769fc56_Method">
    <vt:lpwstr>Standard</vt:lpwstr>
  </property>
  <property fmtid="{D5CDD505-2E9C-101B-9397-08002B2CF9AE}" pid="7" name="MSIP_Label_38b525e5-f3da-4501-8f1e-526b6769fc56_Name">
    <vt:lpwstr>defa4170-0d19-0005-0004-bc88714345d2</vt:lpwstr>
  </property>
  <property fmtid="{D5CDD505-2E9C-101B-9397-08002B2CF9AE}" pid="8" name="MSIP_Label_38b525e5-f3da-4501-8f1e-526b6769fc56_SiteId">
    <vt:lpwstr>db6e1183-4c65-405c-82ce-7cd53fa6e9dc</vt:lpwstr>
  </property>
  <property fmtid="{D5CDD505-2E9C-101B-9397-08002B2CF9AE}" pid="9" name="MSIP_Label_38b525e5-f3da-4501-8f1e-526b6769fc56_ActionId">
    <vt:lpwstr>0b634435-8e58-4abe-b1a9-67a435cdbceb</vt:lpwstr>
  </property>
  <property fmtid="{D5CDD505-2E9C-101B-9397-08002B2CF9AE}" pid="10" name="MSIP_Label_38b525e5-f3da-4501-8f1e-526b6769fc56_ContentBits">
    <vt:lpwstr>0</vt:lpwstr>
  </property>
  <property fmtid="{D5CDD505-2E9C-101B-9397-08002B2CF9AE}" pid="11" name="MSIP_Label_38b525e5-f3da-4501-8f1e-526b6769fc56_Tag">
    <vt:lpwstr>10, 3, 0, 1</vt:lpwstr>
  </property>
</Properties>
</file>