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011AF">
      <w:pPr>
        <w:spacing w:after="0" w:line="240" w:lineRule="auto"/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</w:pP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Week-long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N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ormoglycemia in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D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iabetic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M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ice and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Minip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igs via a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D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ose of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G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lucose-responsive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I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 xml:space="preserve">nsulin </w:t>
      </w:r>
      <w:r>
        <w:rPr>
          <w:rFonts w:hint="eastAsia" w:ascii="Arial" w:hAnsi="Arial" w:eastAsia="宋体" w:cs="Calibri"/>
          <w:b/>
          <w:bCs/>
          <w:kern w:val="0"/>
          <w:lang w:val="en-US" w:eastAsia="zh-CN"/>
          <w14:ligatures w14:val="none"/>
        </w:rPr>
        <w:t>C</w:t>
      </w:r>
      <w:r>
        <w:rPr>
          <w:rFonts w:hint="eastAsia" w:ascii="Arial" w:hAnsi="Arial" w:eastAsia="Calibri" w:cs="Calibri"/>
          <w:b/>
          <w:bCs/>
          <w:kern w:val="0"/>
          <w:lang w:val="en-US"/>
          <w14:ligatures w14:val="none"/>
        </w:rPr>
        <w:t>omplex</w:t>
      </w:r>
    </w:p>
    <w:p w14:paraId="79141BD9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hint="eastAsia" w:ascii="Arial" w:hAnsi="Arial" w:eastAsia="宋体" w:cs="Calibri"/>
          <w:b/>
          <w:kern w:val="0"/>
          <w:sz w:val="20"/>
          <w:szCs w:val="20"/>
          <w:u w:val="single"/>
          <w:lang w:val="en-US" w:eastAsia="zh-CN"/>
          <w14:ligatures w14:val="none"/>
        </w:rPr>
        <w:t>Juan Zhang</w:t>
      </w:r>
      <w:r>
        <w:rPr>
          <w:rFonts w:ascii="Arial" w:hAnsi="Arial" w:eastAsia="Calibri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>,</w:t>
      </w:r>
      <w:r>
        <w:rPr>
          <w:rFonts w:hint="eastAsia" w:ascii="Arial" w:hAnsi="Arial" w:eastAsia="宋体" w:cs="Calibri"/>
          <w:bCs/>
          <w:kern w:val="0"/>
          <w:sz w:val="20"/>
          <w:szCs w:val="20"/>
          <w:vertAlign w:val="baseline"/>
          <w:lang w:val="en-US" w:eastAsia="zh-CN"/>
          <w14:ligatures w14:val="none"/>
        </w:rPr>
        <w:t xml:space="preserve"> Jinqiang Wang</w:t>
      </w:r>
      <w:r>
        <w:rPr>
          <w:rFonts w:hint="eastAsia" w:ascii="Arial" w:hAnsi="Arial" w:eastAsia="宋体" w:cs="Calibri"/>
          <w:bCs/>
          <w:kern w:val="0"/>
          <w:sz w:val="20"/>
          <w:szCs w:val="20"/>
          <w:vertAlign w:val="superscript"/>
          <w:lang w:val="en-US" w:eastAsia="zh-CN"/>
          <w14:ligatures w14:val="none"/>
        </w:rPr>
        <w:t>1</w:t>
      </w:r>
      <w:r>
        <w:rPr>
          <w:rFonts w:hint="eastAsia" w:ascii="Arial" w:hAnsi="Arial" w:eastAsia="宋体" w:cs="Calibri"/>
          <w:bCs/>
          <w:kern w:val="0"/>
          <w:sz w:val="20"/>
          <w:szCs w:val="20"/>
          <w:vertAlign w:val="baseline"/>
          <w:lang w:val="en-US" w:eastAsia="zh-CN"/>
          <w14:ligatures w14:val="none"/>
        </w:rPr>
        <w:t>,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Zhen Gu</w:t>
      </w:r>
      <w:r>
        <w:rPr>
          <w:rFonts w:ascii="Arial" w:hAnsi="Arial" w:eastAsia="Calibri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. </w:t>
      </w:r>
    </w:p>
    <w:p w14:paraId="2F35CF2A">
      <w:pPr>
        <w:spacing w:after="0" w:line="240" w:lineRule="auto"/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School of Pharmacy, Zhejiang University</w:t>
      </w:r>
      <w:r>
        <w:rPr>
          <w:rFonts w:hint="eastAsia" w:ascii="Arial" w:hAnsi="Arial" w:eastAsia="宋体" w:cs="Calibri"/>
          <w:bCs/>
          <w:kern w:val="0"/>
          <w:sz w:val="20"/>
          <w:szCs w:val="20"/>
          <w:vertAlign w:val="superscript"/>
          <w:lang w:val="en-US" w:eastAsia="zh-CN"/>
          <w14:ligatures w14:val="none"/>
        </w:rPr>
        <w:t>1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,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Hangzhou, 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Zhejiang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Province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,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China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.</w:t>
      </w:r>
    </w:p>
    <w:p w14:paraId="2DD37039">
      <w:pPr>
        <w:spacing w:after="0" w:line="240" w:lineRule="auto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eastAsia="Calibri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Background and aims.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The treatment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of insulin therapy for diabetics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 is burdensome due to daily multiple subcutaneous injections. 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I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t 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also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carries risks of frequent hyper- and hypoglycemia. PBA-based glucose-responsive carriers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 xml:space="preserve">mimic </w:t>
      </w:r>
      <w:r>
        <w:rPr>
          <w:rFonts w:hint="default" w:ascii="Arial" w:hAnsi="Arial" w:eastAsia="Calibri" w:cs="Arial"/>
          <w:bCs/>
          <w:kern w:val="0"/>
          <w:sz w:val="20"/>
          <w:szCs w:val="20"/>
          <w14:ligatures w14:val="none"/>
        </w:rPr>
        <w:t>β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-cell function by dynamically releasing insulin in response to blood glucose. However, it remains a challenge to regulate blood glucose levels for longer than one week after a single dose.</w:t>
      </w:r>
    </w:p>
    <w:p w14:paraId="15D93483">
      <w:pPr>
        <w:spacing w:after="0" w:line="240" w:lineRule="auto"/>
        <w:jc w:val="both"/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</w:pPr>
    </w:p>
    <w:p w14:paraId="48C0479A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Recombinant human insulin was covalently modified with gluconic acid to generate an insulin analogue with diol moiety (Glu-insulin). Glu-insulin can form a stable complex with 4-carboxy-3-fluorobenzeneboronic acid (FPBA)-modified poly-ʟ-lysine (PLL-FPBA). The glucose-responsive insulin release performance was tested in vitro and in vivo. Pharmacokinetics and pharmacodynamics were evaluated in type 1 diabetic mice and minipigs.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The toxicity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and t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he fibrous capsule-resistant capability of PLL-FPBA was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14:ligatures w14:val="none"/>
        </w:rPr>
        <w:t>evaluated.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>
      <w:pPr>
        <w:spacing w:after="0" w:line="240" w:lineRule="auto"/>
        <w:jc w:val="both"/>
        <w:rPr>
          <w:rFonts w:ascii="Calibri" w:hAnsi="Calibri" w:eastAsia="Calibri" w:cs="Times New Roman"/>
          <w:b/>
          <w:bCs/>
          <w:kern w:val="0"/>
          <w:lang w:val="en-GB"/>
          <w14:ligatures w14:val="none"/>
        </w:rPr>
      </w:pPr>
    </w:p>
    <w:p w14:paraId="58EE2702">
      <w:pPr>
        <w:spacing w:after="0" w:line="240" w:lineRule="auto"/>
        <w:jc w:val="both"/>
        <w:rPr>
          <w:rFonts w:ascii="Arial" w:hAnsi="Arial" w:eastAsia="Calibri" w:cs="Calibri"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14:ligatures w14:val="none"/>
        </w:rPr>
        <w:t>Results.</w:t>
      </w:r>
      <w:r>
        <w:rPr>
          <w:rFonts w:ascii="Calibri" w:hAnsi="Calibri" w:eastAsia="Calibri" w:cs="Times New Roman"/>
          <w:kern w:val="0"/>
          <w:lang w:val="en-GB"/>
          <w14:ligatures w14:val="none"/>
        </w:rPr>
        <w:t xml:space="preserve"> </w:t>
      </w:r>
      <w:r>
        <w:rPr>
          <w:rFonts w:hint="eastAsia" w:ascii="Arial" w:hAnsi="Arial" w:eastAsia="Calibri" w:cs="Calibri"/>
          <w:kern w:val="0"/>
          <w:sz w:val="20"/>
          <w:szCs w:val="20"/>
          <w:lang w:val="en-US"/>
          <w14:ligatures w14:val="none"/>
        </w:rPr>
        <w:t>The insulin complex in a 400 mg/dL glucose solution achieved unbound Glu-insulin levels over two-fold higher than those observed in the 100 mg/dL glucose concentration. In type 1 diabetic mice, the complex</w:t>
      </w:r>
      <w:r>
        <w:rPr>
          <w:rFonts w:hint="eastAsia" w:ascii="Arial" w:hAnsi="Arial" w:eastAsia="宋体" w:cs="Calibri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kern w:val="0"/>
          <w:sz w:val="20"/>
          <w:szCs w:val="20"/>
          <w:lang w:val="en-US"/>
          <w14:ligatures w14:val="none"/>
        </w:rPr>
        <w:t>maintained blood glucose below 200 mg/dL for over one week at a dose of 20 mg/kg. Following intraperitoneal glucose administration, the complex restored blood glucose to normal levels within two hours, even 12 days post-injection.</w:t>
      </w:r>
      <w:r>
        <w:rPr>
          <w:rFonts w:hint="eastAsia" w:ascii="Arial" w:hAnsi="Arial" w:eastAsia="宋体" w:cs="Calibri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kern w:val="0"/>
          <w:sz w:val="20"/>
          <w:szCs w:val="20"/>
          <w:lang w:val="en-US"/>
          <w14:ligatures w14:val="none"/>
        </w:rPr>
        <w:t>The complex also normalized blood glucose for over 120 hours in type 1 diabetic minipigs. Both models showed negligible hypoglycemia. PLL-FPBA was gradually eliminated</w:t>
      </w:r>
      <w:r>
        <w:rPr>
          <w:rFonts w:hint="eastAsia" w:ascii="Arial" w:hAnsi="Arial" w:eastAsia="宋体" w:cs="Calibri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kern w:val="0"/>
          <w:sz w:val="20"/>
          <w:szCs w:val="20"/>
          <w:lang w:val="en-US"/>
          <w14:ligatures w14:val="none"/>
        </w:rPr>
        <w:t>with negligible toxicity to the liver and kidney and almost absent fibrious capsule under the skin.</w:t>
      </w:r>
    </w:p>
    <w:p w14:paraId="75358F51">
      <w:pPr>
        <w:spacing w:after="0" w:line="240" w:lineRule="auto"/>
        <w:jc w:val="both"/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65E846CD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Conclusion.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The subcutaneously injected glucose-responsive formulation intelligently senses blood glucose fluctuations and dynamically regulates insulin release. It avoids fibrous capsule formation and achieves week-long normoglycemia with negligible hypoglycemia in type 1 diabetic mice and minipigs. Its therapeutic efficacy as a long-acting single-dose agent supports further translational evaluation.</w:t>
      </w:r>
    </w:p>
    <w:p w14:paraId="088BEC36">
      <w:pPr>
        <w:spacing w:after="0" w:line="240" w:lineRule="auto"/>
        <w:jc w:val="both"/>
        <w:rPr>
          <w:rFonts w:hint="eastAsia" w:ascii="Arial" w:hAnsi="Arial" w:eastAsia="Calibri" w:cs="Calibri"/>
          <w:b w:val="0"/>
          <w:bCs/>
          <w:kern w:val="0"/>
          <w:sz w:val="20"/>
          <w:szCs w:val="20"/>
          <w14:ligatures w14:val="none"/>
        </w:rPr>
      </w:pPr>
    </w:p>
    <w:p w14:paraId="2C801966">
      <w:pPr>
        <w:spacing w:after="0" w:line="240" w:lineRule="auto"/>
        <w:jc w:val="both"/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hAnsi="Arial" w:eastAsia="Calibri" w:cs="Calibri"/>
          <w:b/>
          <w:kern w:val="0"/>
          <w:sz w:val="20"/>
          <w:szCs w:val="20"/>
          <w14:ligatures w14:val="none"/>
        </w:rPr>
        <w:t>References:</w:t>
      </w:r>
      <w:r>
        <w:rPr>
          <w:rFonts w:ascii="Arial" w:hAnsi="Arial" w:eastAsia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A348DE7">
      <w:pPr>
        <w:spacing w:after="0" w:line="240" w:lineRule="auto"/>
        <w:jc w:val="both"/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(1) Sun, H. et al. (2022) Diabetes Res Clin Pract 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183: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109119</w:t>
      </w:r>
    </w:p>
    <w:p w14:paraId="493768C3">
      <w:pPr>
        <w:spacing w:after="0" w:line="240" w:lineRule="auto"/>
        <w:jc w:val="both"/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 xml:space="preserve">(2) McCall, A.L. (2012) Endocrinol Metab Clin 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41: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57</w:t>
      </w:r>
      <w:r>
        <w:rPr>
          <w:rFonts w:hint="eastAsia" w:ascii="Arial" w:hAnsi="Arial" w:eastAsia="宋体" w:cs="Calibri"/>
          <w:bCs/>
          <w:kern w:val="0"/>
          <w:sz w:val="20"/>
          <w:szCs w:val="20"/>
          <w:lang w:val="en-US" w:eastAsia="zh-CN"/>
          <w14:ligatures w14:val="none"/>
        </w:rPr>
        <w:t>-</w:t>
      </w: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87</w:t>
      </w:r>
    </w:p>
    <w:p w14:paraId="4A0C1890">
      <w:pPr>
        <w:spacing w:after="0" w:line="240" w:lineRule="auto"/>
        <w:jc w:val="both"/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(3) Wang, J. et al. (2019) Sci Adv 5:eaaw4357</w:t>
      </w:r>
    </w:p>
    <w:p w14:paraId="13BBB95F">
      <w:pPr>
        <w:spacing w:after="0" w:line="240" w:lineRule="auto"/>
        <w:jc w:val="both"/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  <w:t>(4) Yu, J. et al. (2020) Nat Biomed Eng 4:499-506</w:t>
      </w:r>
    </w:p>
    <w:p w14:paraId="7CED9639">
      <w:pPr>
        <w:spacing w:after="0" w:line="240" w:lineRule="auto"/>
        <w:jc w:val="center"/>
        <w:rPr>
          <w:rFonts w:hint="eastAsia" w:ascii="Arial" w:hAnsi="Arial" w:eastAsia="宋体" w:cs="Calibri"/>
          <w:b/>
          <w:kern w:val="0"/>
          <w:sz w:val="20"/>
          <w:szCs w:val="20"/>
          <w:lang w:eastAsia="zh-CN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r>
        <w:rPr>
          <w:rFonts w:hint="eastAsia" w:ascii="Arial" w:hAnsi="Arial" w:eastAsia="宋体" w:cs="Calibri"/>
          <w:b/>
          <w:kern w:val="0"/>
          <w:sz w:val="20"/>
          <w:szCs w:val="20"/>
          <w:lang w:eastAsia="zh-CN"/>
          <w14:ligatures w14:val="none"/>
        </w:rPr>
        <w:drawing>
          <wp:inline distT="0" distB="0" distL="114300" distR="114300">
            <wp:extent cx="1390650" cy="1783080"/>
            <wp:effectExtent l="0" t="0" r="11430" b="0"/>
            <wp:docPr id="1" name="图片 1" descr="ZHANG_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HANG_Fig 1"/>
                    <pic:cNvPicPr>
                      <a:picLocks noChangeAspect="1"/>
                    </pic:cNvPicPr>
                  </pic:nvPicPr>
                  <pic:blipFill>
                    <a:blip r:embed="rId6"/>
                    <a:srcRect r="530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Calibri"/>
          <w:b/>
          <w:kern w:val="0"/>
          <w:sz w:val="20"/>
          <w:szCs w:val="20"/>
          <w:lang w:val="en-US" w:eastAsia="zh-CN"/>
          <w14:ligatures w14:val="none"/>
        </w:rPr>
        <w:t xml:space="preserve">       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 xml:space="preserve">Figure 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  <w14:ligatures w14:val="none"/>
        </w:rPr>
        <w:t>2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.</w:t>
      </w:r>
      <w:r>
        <w:rPr>
          <w:rFonts w:hint="eastAsia" w:ascii="Arial" w:hAnsi="Arial" w:eastAsia="宋体" w:cs="Calibri"/>
          <w:b/>
          <w:kern w:val="0"/>
          <w:sz w:val="20"/>
          <w:szCs w:val="20"/>
          <w:lang w:eastAsia="zh-CN"/>
          <w14:ligatures w14:val="none"/>
        </w:rPr>
        <w:drawing>
          <wp:inline distT="0" distB="0" distL="114300" distR="114300">
            <wp:extent cx="1570355" cy="1785620"/>
            <wp:effectExtent l="0" t="0" r="14605" b="12700"/>
            <wp:docPr id="2" name="图片 2" descr="ZHANG_Fi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HANG_Fi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0F0B">
      <w:pPr>
        <w:spacing w:after="0" w:line="240" w:lineRule="auto"/>
        <w:jc w:val="center"/>
        <w:rPr>
          <w:rFonts w:hint="eastAsia" w:ascii="Arial" w:hAnsi="Arial" w:eastAsia="宋体" w:cs="Calibri"/>
          <w:b/>
          <w:kern w:val="0"/>
          <w:sz w:val="20"/>
          <w:szCs w:val="20"/>
          <w:lang w:eastAsia="zh-CN"/>
          <w14:ligatures w14:val="none"/>
        </w:rPr>
      </w:pPr>
    </w:p>
    <w:p w14:paraId="2A98B019">
      <w:pPr>
        <w:spacing w:after="0" w:line="240" w:lineRule="auto"/>
        <w:jc w:val="both"/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</w:pPr>
      <w:r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In vitro/in vivo validation of glucose-responsive behavior and PD/PK</w:t>
      </w:r>
      <w:r>
        <w:rPr>
          <w:rFonts w:hint="eastAsia" w:ascii="Arial" w:hAnsi="Arial" w:eastAsia="宋体" w:cs="Calibri"/>
          <w:b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of the complex</w:t>
      </w:r>
    </w:p>
    <w:p w14:paraId="5E4515B8">
      <w:pPr>
        <w:spacing w:after="0" w:line="240" w:lineRule="auto"/>
        <w:jc w:val="both"/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a</w:t>
      </w:r>
      <w:r>
        <w:rPr>
          <w:rFonts w:hint="eastAsia" w:ascii="Arial" w:hAnsi="Arial" w:eastAsia="Calibri" w:cs="Calibri"/>
          <w:b w:val="0"/>
          <w:bCs w:val="0"/>
          <w:kern w:val="0"/>
          <w:sz w:val="20"/>
          <w:szCs w:val="20"/>
          <w:lang w:val="en-GB"/>
          <w14:ligatures w14:val="none"/>
        </w:rPr>
        <w:t>,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Schematic.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b</w:t>
      </w:r>
      <w:r>
        <w:rPr>
          <w:rFonts w:hint="eastAsia" w:ascii="Arial" w:hAnsi="Arial" w:eastAsia="Calibri" w:cs="Calibri"/>
          <w:b w:val="0"/>
          <w:bCs w:val="0"/>
          <w:kern w:val="0"/>
          <w:sz w:val="20"/>
          <w:szCs w:val="20"/>
          <w:lang w:val="en-GB"/>
          <w14:ligatures w14:val="none"/>
        </w:rPr>
        <w:t>,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c</w:t>
      </w:r>
      <w:r>
        <w:rPr>
          <w:rFonts w:hint="eastAsia" w:ascii="Arial" w:hAnsi="Arial" w:eastAsia="Calibri" w:cs="Calibri"/>
          <w:b w:val="0"/>
          <w:bCs w:val="0"/>
          <w:kern w:val="0"/>
          <w:sz w:val="20"/>
          <w:szCs w:val="20"/>
          <w:lang w:val="en-GB"/>
          <w14:ligatures w14:val="none"/>
        </w:rPr>
        <w:t>,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SEM and TEM images.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d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, In vitro glucose-responsive insulin release.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e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, Blood glucose of diabetic mice.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f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, Glucose-triggered insulin release in mice.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g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>, Long-term therapeutic effect.</w:t>
      </w:r>
      <w:r>
        <w:rPr>
          <w:rFonts w:hint="eastAsia" w:ascii="Arial" w:hAnsi="Arial" w:eastAsia="宋体" w:cs="Calibri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h</w:t>
      </w:r>
      <w:r>
        <w:rPr>
          <w:rFonts w:hint="eastAsia" w:ascii="Arial" w:hAnsi="Arial" w:eastAsia="Calibri" w:cs="Calibri"/>
          <w:b w:val="0"/>
          <w:bCs w:val="0"/>
          <w:kern w:val="0"/>
          <w:sz w:val="20"/>
          <w:szCs w:val="20"/>
          <w:lang w:val="en-GB"/>
          <w14:ligatures w14:val="none"/>
        </w:rPr>
        <w:t>,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i</w:t>
      </w:r>
      <w:r>
        <w:rPr>
          <w:rFonts w:hint="eastAsia" w:ascii="Arial" w:hAnsi="Arial" w:eastAsia="Calibri" w:cs="Calibri"/>
          <w:b w:val="0"/>
          <w:bCs w:val="0"/>
          <w:kern w:val="0"/>
          <w:sz w:val="20"/>
          <w:szCs w:val="20"/>
          <w:lang w:val="en-GB"/>
          <w14:ligatures w14:val="none"/>
        </w:rPr>
        <w:t>,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 xml:space="preserve"> PD/PK profiling in diabetic minipigs with one injection. </w:t>
      </w:r>
      <w:r>
        <w:rPr>
          <w:rFonts w:hint="eastAsia"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>j</w:t>
      </w:r>
      <w:r>
        <w:rPr>
          <w:rFonts w:hint="eastAsia" w:ascii="Arial" w:hAnsi="Arial" w:eastAsia="Calibri" w:cs="Calibri"/>
          <w:kern w:val="0"/>
          <w:sz w:val="20"/>
          <w:szCs w:val="20"/>
          <w:lang w:val="en-GB"/>
          <w14:ligatures w14:val="none"/>
        </w:rPr>
        <w:t>, Glucose-triggered insulin release.</w:t>
      </w:r>
      <w:r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</w:p>
    <w:p w14:paraId="4E20CE28">
      <w:pPr>
        <w:spacing w:after="0" w:line="240" w:lineRule="auto"/>
        <w:jc w:val="both"/>
        <w:rPr>
          <w:rFonts w:ascii="Arial" w:hAnsi="Arial" w:eastAsia="Calibri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75D14118">
      <w:pPr>
        <w:spacing w:after="0" w:line="240" w:lineRule="auto"/>
        <w:jc w:val="both"/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 xml:space="preserve">Figure 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  <w14:ligatures w14:val="none"/>
        </w:rPr>
        <w:t>2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.</w:t>
      </w:r>
      <w:r>
        <w:rPr>
          <w:rFonts w:hint="default" w:ascii="Arial" w:hAnsi="Arial" w:eastAsia="宋体" w:cs="Arial"/>
          <w:b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Inflammation and fibrosis eva</w:t>
      </w:r>
      <w:bookmarkStart w:id="0" w:name="_GoBack"/>
      <w:bookmarkEnd w:id="0"/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luation of the complex</w:t>
      </w:r>
    </w:p>
    <w:p w14:paraId="40BBCACF">
      <w:pPr>
        <w:spacing w:after="0" w:line="240" w:lineRule="auto"/>
        <w:jc w:val="both"/>
        <w:rPr>
          <w:rFonts w:hint="eastAsia" w:ascii="Arial" w:hAnsi="Arial" w:eastAsia="Calibri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a</w:t>
      </w:r>
      <w:r>
        <w:rPr>
          <w:rFonts w:hint="default" w:ascii="Arial" w:hAnsi="Arial" w:eastAsia="Calibri" w:cs="Arial"/>
          <w:b w:val="0"/>
          <w:bCs w:val="0"/>
          <w:kern w:val="0"/>
          <w:sz w:val="20"/>
          <w:szCs w:val="20"/>
          <w:lang w:val="en-GB"/>
          <w14:ligatures w14:val="none"/>
        </w:rPr>
        <w:t xml:space="preserve">, Immunofluorescence staining of macrophage biomarker (F4/80, red) and α-smooth muscle actin (α-SMA, green). Scale bars, 50 μm. 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b</w:t>
      </w:r>
      <w:r>
        <w:rPr>
          <w:rFonts w:hint="default" w:ascii="Arial" w:hAnsi="Arial" w:eastAsia="Calibri" w:cs="Arial"/>
          <w:b w:val="0"/>
          <w:bCs w:val="0"/>
          <w:kern w:val="0"/>
          <w:sz w:val="20"/>
          <w:szCs w:val="20"/>
          <w:lang w:val="en-GB"/>
          <w14:ligatures w14:val="none"/>
        </w:rPr>
        <w:t xml:space="preserve">, Immunohistochemical staining of TNF-α, IL-6, IL-10, IL-12, IL-17. Scale bars, 50 μm. 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>c</w:t>
      </w:r>
      <w:r>
        <w:rPr>
          <w:rFonts w:hint="default" w:ascii="Arial" w:hAnsi="Arial" w:eastAsia="Calibri" w:cs="Arial"/>
          <w:b w:val="0"/>
          <w:bCs w:val="0"/>
          <w:kern w:val="0"/>
          <w:sz w:val="20"/>
          <w:szCs w:val="20"/>
          <w:lang w:val="en-GB"/>
          <w14:ligatures w14:val="none"/>
        </w:rPr>
        <w:t>, Integrated optical density within 100 μm around the implants.</w:t>
      </w:r>
      <w:r>
        <w:rPr>
          <w:rFonts w:hint="default" w:ascii="Arial" w:hAnsi="Arial" w:eastAsia="Calibri" w:cs="Arial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0C3B7B34"/>
    <w:rsid w:val="163D4862"/>
    <w:rsid w:val="16D71AC3"/>
    <w:rsid w:val="188D7734"/>
    <w:rsid w:val="19702E18"/>
    <w:rsid w:val="2021B9E9"/>
    <w:rsid w:val="20EB156B"/>
    <w:rsid w:val="2D630BFB"/>
    <w:rsid w:val="30CD18D7"/>
    <w:rsid w:val="3CB404A7"/>
    <w:rsid w:val="3D463317"/>
    <w:rsid w:val="4FE71DF4"/>
    <w:rsid w:val="52347E46"/>
    <w:rsid w:val="5E2C5F31"/>
    <w:rsid w:val="7D831EBD"/>
    <w:rsid w:val="7D853B1D"/>
    <w:rsid w:val="7E93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/>
</ds:datastoreItem>
</file>

<file path=customXml/itemProps2.xml><?xml version="1.0" encoding="utf-8"?>
<ds:datastoreItem xmlns:ds="http://schemas.openxmlformats.org/officeDocument/2006/customXml" ds:itemID="{3C4A3A71-59EB-4D37-B60C-752E21A3FD6C}">
  <ds:schemaRefs/>
</ds:datastoreItem>
</file>

<file path=customXml/itemProps3.xml><?xml version="1.0" encoding="utf-8"?>
<ds:datastoreItem xmlns:ds="http://schemas.openxmlformats.org/officeDocument/2006/customXml" ds:itemID="{31DDCDBB-A434-4396-8F0D-5A6A543FC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2969</Characters>
  <Lines>17</Lines>
  <Paragraphs>4</Paragraphs>
  <TotalTime>1</TotalTime>
  <ScaleCrop>false</ScaleCrop>
  <LinksUpToDate>false</LinksUpToDate>
  <CharactersWithSpaces>3443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2025-03-11T02:17:00Z</dcterms:created>
  <dc:creator>Thanh Phan</dc:creator>
  <cp:lastModifiedBy>张娟</cp:lastModifiedBy>
  <dcterms:modified xsi:type="dcterms:W3CDTF">2025-05-25T14:50:34Z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eyJoZGlkIjoiZThmNjAzMWJlZjFkMmQwODUwMTJkYzE2ODFiYmFmYTciLCJ1c2VySWQiOiIxNjQzNDYwNzQ0In0=</vt:lpwstr>
  </property>
  <property fmtid="{D5CDD505-2E9C-101B-9397-08002B2CF9AE}" pid="5" name="KSOProductBuildVer">
    <vt:lpwstr>2052-12.1.0.19770</vt:lpwstr>
  </property>
  <property fmtid="{D5CDD505-2E9C-101B-9397-08002B2CF9AE}" pid="6" name="ICV">
    <vt:lpwstr>6898AD03E3A0478E9FCF88BF0CDE0695_13</vt:lpwstr>
  </property>
</Properties>
</file>