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4EE78" w14:textId="50327413" w:rsidR="00E30530" w:rsidRPr="00E30530" w:rsidRDefault="00E30530">
      <w:pPr>
        <w:jc w:val="both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Predicting ligand affinity at the</w:t>
      </w:r>
      <w:r w:rsidR="000035F9">
        <w:rPr>
          <w:rFonts w:ascii="Calibri" w:eastAsia="Calibri" w:hAnsi="Calibri" w:cs="Calibri"/>
          <w:b/>
          <w:bCs/>
          <w:sz w:val="20"/>
          <w:szCs w:val="20"/>
        </w:rPr>
        <w:t xml:space="preserve"> human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A</w:t>
      </w:r>
      <w:r>
        <w:rPr>
          <w:rFonts w:ascii="Calibri" w:eastAsia="Calibri" w:hAnsi="Calibri" w:cs="Calibri"/>
          <w:b/>
          <w:bCs/>
          <w:sz w:val="20"/>
          <w:szCs w:val="20"/>
          <w:vertAlign w:val="subscript"/>
        </w:rPr>
        <w:t>3</w:t>
      </w:r>
      <w:r>
        <w:rPr>
          <w:rFonts w:ascii="Calibri" w:eastAsia="Calibri" w:hAnsi="Calibri" w:cs="Calibri"/>
          <w:b/>
          <w:bCs/>
          <w:sz w:val="20"/>
          <w:szCs w:val="20"/>
        </w:rPr>
        <w:t xml:space="preserve"> adenosine receptor </w:t>
      </w:r>
      <w:r w:rsidR="000035F9">
        <w:rPr>
          <w:rFonts w:ascii="Calibri" w:eastAsia="Calibri" w:hAnsi="Calibri" w:cs="Calibri"/>
          <w:b/>
          <w:bCs/>
          <w:sz w:val="20"/>
          <w:szCs w:val="20"/>
        </w:rPr>
        <w:t>from protein sequence</w:t>
      </w:r>
    </w:p>
    <w:p w14:paraId="107CEE34" w14:textId="06DB5A02" w:rsidR="002C3CCA" w:rsidRDefault="0005769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Thomas J Lonsdale</w:t>
      </w:r>
      <w:r>
        <w:rPr>
          <w:rFonts w:ascii="Calibri" w:eastAsia="Calibri" w:hAnsi="Calibri" w:cs="Calibri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, Huan Y Koh</w:t>
      </w:r>
      <w:r>
        <w:rPr>
          <w:rFonts w:ascii="Calibri" w:eastAsia="Calibri" w:hAnsi="Calibri" w:cs="Calibri"/>
          <w:sz w:val="20"/>
          <w:szCs w:val="20"/>
          <w:vertAlign w:val="superscript"/>
        </w:rPr>
        <w:t>2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 w:rsidR="000B1924">
        <w:rPr>
          <w:rFonts w:ascii="Calibri" w:eastAsia="Calibri" w:hAnsi="Calibri" w:cs="Calibri"/>
          <w:sz w:val="20"/>
          <w:szCs w:val="20"/>
        </w:rPr>
        <w:t xml:space="preserve">Daniel P </w:t>
      </w:r>
      <w:r w:rsidR="000B1924" w:rsidRPr="000B1924">
        <w:rPr>
          <w:rFonts w:ascii="Calibri" w:eastAsia="Calibri" w:hAnsi="Calibri" w:cs="Calibri"/>
          <w:sz w:val="20"/>
          <w:szCs w:val="20"/>
        </w:rPr>
        <w:t>Poole</w:t>
      </w:r>
      <w:r w:rsidR="000B1924">
        <w:rPr>
          <w:rFonts w:ascii="Calibri" w:eastAsia="Calibri" w:hAnsi="Calibri" w:cs="Calibri"/>
          <w:sz w:val="20"/>
          <w:szCs w:val="20"/>
          <w:vertAlign w:val="superscript"/>
        </w:rPr>
        <w:t>1</w:t>
      </w:r>
      <w:r w:rsidR="000B1924">
        <w:rPr>
          <w:rFonts w:ascii="Calibri" w:eastAsia="Calibri" w:hAnsi="Calibri" w:cs="Calibri"/>
          <w:sz w:val="20"/>
          <w:szCs w:val="20"/>
        </w:rPr>
        <w:t>, Nicholas A Veldhuis</w:t>
      </w:r>
      <w:r w:rsidR="000B1924">
        <w:rPr>
          <w:rFonts w:ascii="Calibri" w:eastAsia="Calibri" w:hAnsi="Calibri" w:cs="Calibri"/>
          <w:sz w:val="20"/>
          <w:szCs w:val="20"/>
          <w:vertAlign w:val="superscript"/>
        </w:rPr>
        <w:t>1</w:t>
      </w:r>
      <w:r w:rsidR="000B1924">
        <w:rPr>
          <w:rFonts w:ascii="Calibri" w:eastAsia="Calibri" w:hAnsi="Calibri" w:cs="Calibri"/>
          <w:sz w:val="20"/>
          <w:szCs w:val="20"/>
        </w:rPr>
        <w:t xml:space="preserve">, </w:t>
      </w:r>
      <w:r w:rsidRPr="000B1924">
        <w:rPr>
          <w:rFonts w:ascii="Calibri" w:eastAsia="Calibri" w:hAnsi="Calibri" w:cs="Calibri"/>
          <w:sz w:val="20"/>
          <w:szCs w:val="20"/>
        </w:rPr>
        <w:t>Lauren</w:t>
      </w:r>
      <w:r>
        <w:rPr>
          <w:rFonts w:ascii="Calibri" w:eastAsia="Calibri" w:hAnsi="Calibri" w:cs="Calibri"/>
          <w:sz w:val="20"/>
          <w:szCs w:val="20"/>
        </w:rPr>
        <w:t xml:space="preserve"> T May</w:t>
      </w:r>
      <w:r>
        <w:rPr>
          <w:rFonts w:ascii="Calibri" w:eastAsia="Calibri" w:hAnsi="Calibri" w:cs="Calibri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23CAF4BE" w14:textId="29222DFC" w:rsidR="002C3CCA" w:rsidRDefault="0005769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Monash Institute of Pharmacological Sciences, Monash University</w:t>
      </w:r>
      <w:r>
        <w:rPr>
          <w:rFonts w:ascii="Calibri" w:eastAsia="Calibri" w:hAnsi="Calibri" w:cs="Calibri"/>
          <w:sz w:val="20"/>
          <w:szCs w:val="20"/>
          <w:vertAlign w:val="superscript"/>
        </w:rPr>
        <w:t>1</w:t>
      </w:r>
      <w:r>
        <w:rPr>
          <w:rFonts w:ascii="Calibri" w:eastAsia="Calibri" w:hAnsi="Calibri" w:cs="Calibri"/>
          <w:sz w:val="20"/>
          <w:szCs w:val="20"/>
        </w:rPr>
        <w:t>, Parkville, VIC, Australia; Faculty of Information Technology, Monash University</w:t>
      </w:r>
      <w:r>
        <w:rPr>
          <w:rFonts w:ascii="Calibri" w:eastAsia="Calibri" w:hAnsi="Calibri" w:cs="Calibri"/>
          <w:sz w:val="20"/>
          <w:szCs w:val="20"/>
          <w:vertAlign w:val="superscript"/>
        </w:rPr>
        <w:t>2</w:t>
      </w:r>
      <w:r>
        <w:rPr>
          <w:rFonts w:ascii="Calibri" w:eastAsia="Calibri" w:hAnsi="Calibri" w:cs="Calibri"/>
          <w:sz w:val="20"/>
          <w:szCs w:val="20"/>
        </w:rPr>
        <w:t>, Clayton, VIC, Australia.</w:t>
      </w:r>
    </w:p>
    <w:p w14:paraId="3C1BEB2D" w14:textId="0E3ABC93" w:rsidR="002C3CCA" w:rsidRDefault="00CC6373">
      <w:pPr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0329AC48" wp14:editId="7781AB00">
            <wp:simplePos x="0" y="0"/>
            <wp:positionH relativeFrom="column">
              <wp:posOffset>4179570</wp:posOffset>
            </wp:positionH>
            <wp:positionV relativeFrom="paragraph">
              <wp:posOffset>144145</wp:posOffset>
            </wp:positionV>
            <wp:extent cx="1978660" cy="1702435"/>
            <wp:effectExtent l="0" t="0" r="2540" b="0"/>
            <wp:wrapSquare wrapText="bothSides"/>
            <wp:docPr id="1301654453" name="Picture 5" descr="A diagram of a red and blue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54453" name="Picture 5" descr="A diagram of a red and blue lin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170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3A2F">
        <w:rPr>
          <w:rFonts w:ascii="Calibri" w:eastAsia="Calibri" w:hAnsi="Calibri" w:cs="Calibri"/>
          <w:i/>
          <w:iCs/>
          <w:color w:val="000000"/>
          <w:sz w:val="20"/>
          <w:szCs w:val="20"/>
        </w:rPr>
        <w:t xml:space="preserve"> </w:t>
      </w:r>
    </w:p>
    <w:p w14:paraId="1619E222" w14:textId="5B1D4DB3" w:rsidR="002C3CCA" w:rsidRDefault="0005769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Introduction.</w:t>
      </w:r>
      <w:r>
        <w:rPr>
          <w:rFonts w:ascii="Calibri" w:eastAsia="Calibri" w:hAnsi="Calibri" w:cs="Calibri"/>
          <w:sz w:val="20"/>
          <w:szCs w:val="20"/>
        </w:rPr>
        <w:t xml:space="preserve"> PSICHIC, a physicochemical graph neural network, predicts protein-ligand interactions from sequence data with </w:t>
      </w:r>
      <w:r w:rsidR="008E3A2F">
        <w:rPr>
          <w:rFonts w:ascii="Calibri" w:eastAsia="Calibri" w:hAnsi="Calibri" w:cs="Calibri"/>
          <w:sz w:val="20"/>
          <w:szCs w:val="20"/>
        </w:rPr>
        <w:t>accuracy that outperforms or is comparable to other structure-based and sequence-based models (Koh et al.,</w:t>
      </w:r>
      <w:r>
        <w:rPr>
          <w:rFonts w:ascii="Calibri" w:eastAsia="Calibri" w:hAnsi="Calibri" w:cs="Calibri"/>
          <w:sz w:val="20"/>
          <w:szCs w:val="20"/>
        </w:rPr>
        <w:t xml:space="preserve"> 2024). The current study evaluated PSICHIC predictions of agonist and antagonist binding affinities at the A</w:t>
      </w:r>
      <w:r w:rsidRPr="000B1924">
        <w:rPr>
          <w:rFonts w:ascii="Calibri" w:eastAsia="Calibri" w:hAnsi="Calibri" w:cs="Calibri"/>
          <w:sz w:val="20"/>
          <w:szCs w:val="20"/>
          <w:vertAlign w:val="subscript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 adenosine receptor (A</w:t>
      </w:r>
      <w:r>
        <w:rPr>
          <w:rFonts w:ascii="Calibri" w:eastAsia="Calibri" w:hAnsi="Calibri" w:cs="Calibri"/>
          <w:sz w:val="20"/>
          <w:szCs w:val="20"/>
          <w:vertAlign w:val="subscript"/>
        </w:rPr>
        <w:t>3</w:t>
      </w:r>
      <w:r>
        <w:rPr>
          <w:rFonts w:ascii="Calibri" w:eastAsia="Calibri" w:hAnsi="Calibri" w:cs="Calibri"/>
          <w:sz w:val="20"/>
          <w:szCs w:val="20"/>
        </w:rPr>
        <w:t>R), a potential non-opioid target for the treatment of nociceptive and neuropathic pain.</w:t>
      </w:r>
    </w:p>
    <w:p w14:paraId="7A050272" w14:textId="28D39922" w:rsidR="002C3CCA" w:rsidRDefault="0005769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Aims</w:t>
      </w:r>
      <w:r>
        <w:rPr>
          <w:rFonts w:ascii="Calibri" w:eastAsia="Calibri" w:hAnsi="Calibri" w:cs="Calibri"/>
          <w:sz w:val="20"/>
          <w:szCs w:val="20"/>
        </w:rPr>
        <w:t>. Investigate how PSICHIC-predicted A</w:t>
      </w:r>
      <w:r>
        <w:rPr>
          <w:rFonts w:ascii="Calibri" w:eastAsia="Calibri" w:hAnsi="Calibri" w:cs="Calibri"/>
          <w:sz w:val="20"/>
          <w:szCs w:val="20"/>
          <w:vertAlign w:val="subscript"/>
        </w:rPr>
        <w:t>3</w:t>
      </w:r>
      <w:r>
        <w:rPr>
          <w:rFonts w:ascii="Calibri" w:eastAsia="Calibri" w:hAnsi="Calibri" w:cs="Calibri"/>
          <w:sz w:val="20"/>
          <w:szCs w:val="20"/>
        </w:rPr>
        <w:t>R binding data compares to experimentally derived values.</w:t>
      </w:r>
    </w:p>
    <w:p w14:paraId="2D3BD649" w14:textId="72C79794" w:rsidR="002C3CCA" w:rsidRDefault="0005769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Methods</w:t>
      </w:r>
      <w:r>
        <w:rPr>
          <w:rFonts w:ascii="Calibri" w:eastAsia="Calibri" w:hAnsi="Calibri" w:cs="Calibri"/>
          <w:sz w:val="20"/>
          <w:szCs w:val="20"/>
        </w:rPr>
        <w:t>. BindingDB was used to obtain binding affinity data for the human A</w:t>
      </w:r>
      <w:r>
        <w:rPr>
          <w:rFonts w:ascii="Calibri" w:eastAsia="Calibri" w:hAnsi="Calibri" w:cs="Calibri"/>
          <w:sz w:val="20"/>
          <w:szCs w:val="20"/>
          <w:vertAlign w:val="subscript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R. PSICHIC was used to predict binding affinity. Analysis was conducted in RStudio, including calculations of mean absolute error (MAE). </w:t>
      </w:r>
    </w:p>
    <w:p w14:paraId="6B98868F" w14:textId="09DF2D11" w:rsidR="002C3CCA" w:rsidRPr="00CC6373" w:rsidRDefault="0005769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Results.</w:t>
      </w:r>
      <w:r>
        <w:rPr>
          <w:rFonts w:ascii="Calibri" w:eastAsia="Calibri" w:hAnsi="Calibri" w:cs="Calibri"/>
          <w:sz w:val="20"/>
          <w:szCs w:val="20"/>
        </w:rPr>
        <w:t xml:space="preserve"> In general, PSICHIC predict</w:t>
      </w:r>
      <w:r w:rsidR="008E3A2F">
        <w:rPr>
          <w:rFonts w:ascii="Calibri" w:eastAsia="Calibri" w:hAnsi="Calibri" w:cs="Calibri"/>
          <w:sz w:val="20"/>
          <w:szCs w:val="20"/>
        </w:rPr>
        <w:t>ed</w:t>
      </w:r>
      <w:r>
        <w:rPr>
          <w:rFonts w:ascii="Calibri" w:eastAsia="Calibri" w:hAnsi="Calibri" w:cs="Calibri"/>
          <w:sz w:val="20"/>
          <w:szCs w:val="20"/>
        </w:rPr>
        <w:t xml:space="preserve"> binding affinity values for the A</w:t>
      </w:r>
      <w:r>
        <w:rPr>
          <w:rFonts w:ascii="Calibri" w:eastAsia="Calibri" w:hAnsi="Calibri" w:cs="Calibri"/>
          <w:sz w:val="20"/>
          <w:szCs w:val="20"/>
          <w:vertAlign w:val="subscript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R with a similar level of accuracy as </w:t>
      </w:r>
      <w:r w:rsidR="008E3A2F">
        <w:rPr>
          <w:rFonts w:ascii="Calibri" w:eastAsia="Calibri" w:hAnsi="Calibri" w:cs="Calibri"/>
          <w:sz w:val="20"/>
          <w:szCs w:val="20"/>
        </w:rPr>
        <w:t xml:space="preserve">previously </w:t>
      </w:r>
      <w:r>
        <w:rPr>
          <w:rFonts w:ascii="Calibri" w:eastAsia="Calibri" w:hAnsi="Calibri" w:cs="Calibri"/>
          <w:sz w:val="20"/>
          <w:szCs w:val="20"/>
        </w:rPr>
        <w:t>described (MAE</w:t>
      </w:r>
      <w:r>
        <w:rPr>
          <w:rFonts w:ascii="Calibri" w:eastAsia="Calibri" w:hAnsi="Calibri" w:cs="Calibri"/>
          <w:sz w:val="20"/>
          <w:szCs w:val="20"/>
          <w:vertAlign w:val="subscript"/>
        </w:rPr>
        <w:t>ALL</w:t>
      </w:r>
      <w:r>
        <w:rPr>
          <w:rFonts w:ascii="Calibri" w:eastAsia="Calibri" w:hAnsi="Calibri" w:cs="Calibri"/>
          <w:sz w:val="20"/>
          <w:szCs w:val="20"/>
        </w:rPr>
        <w:t xml:space="preserve"> = 1.04)</w:t>
      </w:r>
      <w:r w:rsidR="008E3A2F">
        <w:rPr>
          <w:rFonts w:ascii="Calibri" w:eastAsia="Calibri" w:hAnsi="Calibri" w:cs="Calibri"/>
          <w:sz w:val="20"/>
          <w:szCs w:val="20"/>
        </w:rPr>
        <w:t>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8E3A2F"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</w:rPr>
        <w:t xml:space="preserve"> stronger correlation </w:t>
      </w:r>
      <w:r w:rsidR="008E3A2F">
        <w:rPr>
          <w:rFonts w:ascii="Calibri" w:eastAsia="Calibri" w:hAnsi="Calibri" w:cs="Calibri"/>
          <w:sz w:val="20"/>
          <w:szCs w:val="20"/>
        </w:rPr>
        <w:t xml:space="preserve">was observed for </w:t>
      </w:r>
      <w:r>
        <w:rPr>
          <w:rFonts w:ascii="Calibri" w:eastAsia="Calibri" w:hAnsi="Calibri" w:cs="Calibri"/>
          <w:sz w:val="20"/>
          <w:szCs w:val="20"/>
        </w:rPr>
        <w:t xml:space="preserve">experimental values </w:t>
      </w:r>
      <w:r w:rsidR="008E3A2F">
        <w:rPr>
          <w:rFonts w:ascii="Calibri" w:eastAsia="Calibri" w:hAnsi="Calibri" w:cs="Calibri"/>
          <w:sz w:val="20"/>
          <w:szCs w:val="20"/>
        </w:rPr>
        <w:t>derived from</w:t>
      </w:r>
      <w:r>
        <w:rPr>
          <w:rFonts w:ascii="Calibri" w:eastAsia="Calibri" w:hAnsi="Calibri" w:cs="Calibri"/>
          <w:sz w:val="20"/>
          <w:szCs w:val="20"/>
        </w:rPr>
        <w:t xml:space="preserve"> radiolabelled antagonist data</w:t>
      </w:r>
      <w:r w:rsidR="008E3A2F">
        <w:rPr>
          <w:rFonts w:ascii="Calibri" w:eastAsia="Calibri" w:hAnsi="Calibri" w:cs="Calibri"/>
          <w:sz w:val="20"/>
          <w:szCs w:val="20"/>
        </w:rPr>
        <w:t>, as compared to radiolabelled agonist data</w:t>
      </w:r>
      <w:r>
        <w:rPr>
          <w:rFonts w:ascii="Calibri" w:eastAsia="Calibri" w:hAnsi="Calibri" w:cs="Calibri"/>
          <w:sz w:val="20"/>
          <w:szCs w:val="20"/>
        </w:rPr>
        <w:t xml:space="preserve"> (MAE</w:t>
      </w:r>
      <w:r>
        <w:rPr>
          <w:rFonts w:ascii="Calibri" w:eastAsia="Calibri" w:hAnsi="Calibri" w:cs="Calibri"/>
          <w:sz w:val="20"/>
          <w:szCs w:val="20"/>
          <w:vertAlign w:val="subscript"/>
        </w:rPr>
        <w:t>ANT</w:t>
      </w:r>
      <w:r>
        <w:rPr>
          <w:rFonts w:ascii="Calibri" w:eastAsia="Calibri" w:hAnsi="Calibri" w:cs="Calibri"/>
          <w:sz w:val="20"/>
          <w:szCs w:val="20"/>
        </w:rPr>
        <w:t xml:space="preserve"> = 1.00, MAE</w:t>
      </w:r>
      <w:r>
        <w:rPr>
          <w:rFonts w:ascii="Calibri" w:eastAsia="Calibri" w:hAnsi="Calibri" w:cs="Calibri"/>
          <w:sz w:val="20"/>
          <w:szCs w:val="20"/>
          <w:vertAlign w:val="subscript"/>
        </w:rPr>
        <w:t>AGO</w:t>
      </w:r>
      <w:r>
        <w:rPr>
          <w:rFonts w:ascii="Calibri" w:eastAsia="Calibri" w:hAnsi="Calibri" w:cs="Calibri"/>
          <w:sz w:val="20"/>
          <w:szCs w:val="20"/>
        </w:rPr>
        <w:t xml:space="preserve"> = 1.</w:t>
      </w:r>
      <w:r w:rsidR="00CC6373">
        <w:rPr>
          <w:rFonts w:ascii="Calibri" w:eastAsia="Calibri" w:hAnsi="Calibri" w:cs="Calibri"/>
          <w:sz w:val="20"/>
          <w:szCs w:val="20"/>
        </w:rPr>
        <w:t>13</w:t>
      </w:r>
      <w:r>
        <w:rPr>
          <w:rFonts w:ascii="Calibri" w:eastAsia="Calibri" w:hAnsi="Calibri" w:cs="Calibri"/>
          <w:sz w:val="20"/>
          <w:szCs w:val="20"/>
        </w:rPr>
        <w:t>). Interestingly, PSICHIC-predicted binding affinities were substantially lower than reported experimental values for a subset of A</w:t>
      </w:r>
      <w:r>
        <w:rPr>
          <w:rFonts w:ascii="Calibri" w:eastAsia="Calibri" w:hAnsi="Calibri" w:cs="Calibri"/>
          <w:sz w:val="20"/>
          <w:szCs w:val="20"/>
          <w:vertAlign w:val="subscript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R antagonists, predominantly </w:t>
      </w:r>
      <w:r w:rsidR="00B5580C">
        <w:rPr>
          <w:rFonts w:ascii="Calibri" w:eastAsia="Calibri" w:hAnsi="Calibri" w:cs="Calibri"/>
          <w:sz w:val="20"/>
          <w:szCs w:val="20"/>
        </w:rPr>
        <w:t xml:space="preserve">belonging to </w:t>
      </w:r>
      <w:r>
        <w:rPr>
          <w:rFonts w:ascii="Calibri" w:eastAsia="Calibri" w:hAnsi="Calibri" w:cs="Calibri"/>
          <w:sz w:val="20"/>
          <w:szCs w:val="20"/>
        </w:rPr>
        <w:t>a class of urea-containing compounds</w:t>
      </w:r>
      <w:r w:rsidR="00CC6373">
        <w:rPr>
          <w:rFonts w:ascii="Calibri" w:eastAsia="Calibri" w:hAnsi="Calibri" w:cs="Calibri"/>
          <w:sz w:val="20"/>
          <w:szCs w:val="20"/>
        </w:rPr>
        <w:t xml:space="preserve"> (MAE</w:t>
      </w:r>
      <w:r w:rsidR="00CC6373">
        <w:rPr>
          <w:rFonts w:ascii="Calibri" w:eastAsia="Calibri" w:hAnsi="Calibri" w:cs="Calibri"/>
          <w:sz w:val="20"/>
          <w:szCs w:val="20"/>
          <w:vertAlign w:val="subscript"/>
        </w:rPr>
        <w:t>UREA</w:t>
      </w:r>
      <w:r w:rsidR="00CC6373">
        <w:rPr>
          <w:rFonts w:ascii="Calibri" w:eastAsia="Calibri" w:hAnsi="Calibri" w:cs="Calibri"/>
          <w:sz w:val="20"/>
          <w:szCs w:val="20"/>
        </w:rPr>
        <w:t xml:space="preserve"> = 2.20)</w:t>
      </w:r>
      <w:r w:rsidR="00531DFE">
        <w:rPr>
          <w:rFonts w:ascii="Calibri" w:eastAsia="Calibri" w:hAnsi="Calibri" w:cs="Calibri"/>
          <w:sz w:val="20"/>
          <w:szCs w:val="20"/>
        </w:rPr>
        <w:t>.</w:t>
      </w:r>
    </w:p>
    <w:p w14:paraId="556F0632" w14:textId="34BD4D86" w:rsidR="002C3CCA" w:rsidRDefault="0005769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Discussion.</w:t>
      </w:r>
      <w:r>
        <w:rPr>
          <w:rFonts w:ascii="Calibri" w:eastAsia="Calibri" w:hAnsi="Calibri" w:cs="Calibri"/>
          <w:sz w:val="20"/>
          <w:szCs w:val="20"/>
        </w:rPr>
        <w:t xml:space="preserve"> Urea-containing antagonists were particularly susceptible to discrepancies between experimental and </w:t>
      </w:r>
      <w:r w:rsidR="003548EE">
        <w:rPr>
          <w:rFonts w:ascii="Calibri" w:eastAsia="Calibri" w:hAnsi="Calibri" w:cs="Calibri"/>
          <w:sz w:val="20"/>
          <w:szCs w:val="20"/>
        </w:rPr>
        <w:t>predicted</w:t>
      </w:r>
      <w:r>
        <w:rPr>
          <w:rFonts w:ascii="Calibri" w:eastAsia="Calibri" w:hAnsi="Calibri" w:cs="Calibri"/>
          <w:sz w:val="20"/>
          <w:szCs w:val="20"/>
        </w:rPr>
        <w:t xml:space="preserve"> binding affinity </w:t>
      </w:r>
      <w:r w:rsidR="005564B7">
        <w:rPr>
          <w:rFonts w:ascii="Calibri" w:eastAsia="Calibri" w:hAnsi="Calibri" w:cs="Calibri"/>
          <w:sz w:val="20"/>
          <w:szCs w:val="20"/>
        </w:rPr>
        <w:t>values</w:t>
      </w:r>
      <w:r>
        <w:rPr>
          <w:rFonts w:ascii="Calibri" w:eastAsia="Calibri" w:hAnsi="Calibri" w:cs="Calibri"/>
          <w:sz w:val="20"/>
          <w:szCs w:val="20"/>
        </w:rPr>
        <w:t xml:space="preserve">, </w:t>
      </w:r>
      <w:r w:rsidR="008E3A2F">
        <w:rPr>
          <w:rFonts w:ascii="Calibri" w:eastAsia="Calibri" w:hAnsi="Calibri" w:cs="Calibri"/>
          <w:sz w:val="20"/>
          <w:szCs w:val="20"/>
        </w:rPr>
        <w:t xml:space="preserve">suggesting </w:t>
      </w:r>
      <w:r>
        <w:rPr>
          <w:rFonts w:ascii="Calibri" w:eastAsia="Calibri" w:hAnsi="Calibri" w:cs="Calibri"/>
          <w:sz w:val="20"/>
          <w:szCs w:val="20"/>
        </w:rPr>
        <w:t xml:space="preserve">these </w:t>
      </w:r>
      <w:r w:rsidR="008E3A2F">
        <w:rPr>
          <w:rFonts w:ascii="Calibri" w:eastAsia="Calibri" w:hAnsi="Calibri" w:cs="Calibri"/>
          <w:sz w:val="20"/>
          <w:szCs w:val="20"/>
        </w:rPr>
        <w:t>discrepancie</w:t>
      </w:r>
      <w:r>
        <w:rPr>
          <w:rFonts w:ascii="Calibri" w:eastAsia="Calibri" w:hAnsi="Calibri" w:cs="Calibri"/>
          <w:sz w:val="20"/>
          <w:szCs w:val="20"/>
        </w:rPr>
        <w:t xml:space="preserve">s may reflect a specific physicochemical characteristic of these </w:t>
      </w:r>
      <w:r w:rsidR="00BA047D">
        <w:rPr>
          <w:rFonts w:ascii="Calibri" w:eastAsia="Calibri" w:hAnsi="Calibri" w:cs="Calibri"/>
          <w:sz w:val="20"/>
          <w:szCs w:val="20"/>
        </w:rPr>
        <w:t>ligands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 w:rsidR="008E3A2F">
        <w:rPr>
          <w:rFonts w:ascii="Calibri" w:eastAsia="Calibri" w:hAnsi="Calibri" w:cs="Calibri"/>
          <w:sz w:val="20"/>
          <w:szCs w:val="20"/>
        </w:rPr>
        <w:t xml:space="preserve">Notably, many </w:t>
      </w:r>
      <w:r>
        <w:rPr>
          <w:rFonts w:ascii="Calibri" w:eastAsia="Calibri" w:hAnsi="Calibri" w:cs="Calibri"/>
          <w:sz w:val="20"/>
          <w:szCs w:val="20"/>
        </w:rPr>
        <w:t>A</w:t>
      </w:r>
      <w:r>
        <w:rPr>
          <w:rFonts w:ascii="Calibri" w:eastAsia="Calibri" w:hAnsi="Calibri" w:cs="Calibri"/>
          <w:sz w:val="20"/>
          <w:szCs w:val="20"/>
          <w:vertAlign w:val="subscript"/>
        </w:rPr>
        <w:t>3</w:t>
      </w:r>
      <w:r>
        <w:rPr>
          <w:rFonts w:ascii="Calibri" w:eastAsia="Calibri" w:hAnsi="Calibri" w:cs="Calibri"/>
          <w:sz w:val="20"/>
          <w:szCs w:val="20"/>
        </w:rPr>
        <w:t xml:space="preserve">R ligands </w:t>
      </w:r>
      <w:r w:rsidR="008E3A2F">
        <w:rPr>
          <w:rFonts w:ascii="Calibri" w:eastAsia="Calibri" w:hAnsi="Calibri" w:cs="Calibri"/>
          <w:sz w:val="20"/>
          <w:szCs w:val="20"/>
        </w:rPr>
        <w:t>were assigned functionality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 w:rsidR="008E3A2F">
        <w:rPr>
          <w:rFonts w:ascii="Calibri" w:eastAsia="Calibri" w:hAnsi="Calibri" w:cs="Calibri"/>
          <w:sz w:val="20"/>
          <w:szCs w:val="20"/>
        </w:rPr>
        <w:t>based on</w:t>
      </w:r>
      <w:r>
        <w:rPr>
          <w:rFonts w:ascii="Calibri" w:eastAsia="Calibri" w:hAnsi="Calibri" w:cs="Calibri"/>
          <w:sz w:val="20"/>
          <w:szCs w:val="20"/>
        </w:rPr>
        <w:t xml:space="preserve"> their structur</w:t>
      </w:r>
      <w:r w:rsidR="008E3A2F">
        <w:rPr>
          <w:rFonts w:ascii="Calibri" w:eastAsia="Calibri" w:hAnsi="Calibri" w:cs="Calibri"/>
          <w:sz w:val="20"/>
          <w:szCs w:val="20"/>
        </w:rPr>
        <w:t>es</w:t>
      </w:r>
      <w:r>
        <w:rPr>
          <w:rFonts w:ascii="Calibri" w:eastAsia="Calibri" w:hAnsi="Calibri" w:cs="Calibri"/>
          <w:sz w:val="20"/>
          <w:szCs w:val="20"/>
        </w:rPr>
        <w:t xml:space="preserve">, suggesting </w:t>
      </w:r>
      <w:r w:rsidR="008E3A2F">
        <w:rPr>
          <w:rFonts w:ascii="Calibri" w:eastAsia="Calibri" w:hAnsi="Calibri" w:cs="Calibri"/>
          <w:sz w:val="20"/>
          <w:szCs w:val="20"/>
        </w:rPr>
        <w:t xml:space="preserve">that </w:t>
      </w:r>
      <w:r>
        <w:rPr>
          <w:rFonts w:ascii="Calibri" w:eastAsia="Calibri" w:hAnsi="Calibri" w:cs="Calibri"/>
          <w:sz w:val="20"/>
          <w:szCs w:val="20"/>
        </w:rPr>
        <w:t xml:space="preserve">further pharmacological characterisation </w:t>
      </w:r>
      <w:r w:rsidR="00813AB6">
        <w:rPr>
          <w:rFonts w:ascii="Calibri" w:eastAsia="Calibri" w:hAnsi="Calibri" w:cs="Calibri"/>
          <w:sz w:val="20"/>
          <w:szCs w:val="20"/>
        </w:rPr>
        <w:t xml:space="preserve">of these </w:t>
      </w:r>
      <w:r w:rsidR="00BA047D">
        <w:rPr>
          <w:rFonts w:ascii="Calibri" w:eastAsia="Calibri" w:hAnsi="Calibri" w:cs="Calibri"/>
          <w:sz w:val="20"/>
          <w:szCs w:val="20"/>
        </w:rPr>
        <w:t>antagonists</w:t>
      </w:r>
      <w:r w:rsidR="00813AB6">
        <w:rPr>
          <w:rFonts w:ascii="Calibri" w:eastAsia="Calibri" w:hAnsi="Calibri" w:cs="Calibri"/>
          <w:sz w:val="20"/>
          <w:szCs w:val="20"/>
        </w:rPr>
        <w:t xml:space="preserve"> </w:t>
      </w:r>
      <w:r w:rsidR="00C92081">
        <w:rPr>
          <w:rFonts w:ascii="Calibri" w:eastAsia="Calibri" w:hAnsi="Calibri" w:cs="Calibri"/>
          <w:sz w:val="20"/>
          <w:szCs w:val="20"/>
        </w:rPr>
        <w:t>is</w:t>
      </w:r>
      <w:r>
        <w:rPr>
          <w:rFonts w:ascii="Calibri" w:eastAsia="Calibri" w:hAnsi="Calibri" w:cs="Calibri"/>
          <w:sz w:val="20"/>
          <w:szCs w:val="20"/>
        </w:rPr>
        <w:t xml:space="preserve"> required to ensure </w:t>
      </w:r>
      <w:r w:rsidR="008E3A2F">
        <w:rPr>
          <w:rFonts w:ascii="Calibri" w:eastAsia="Calibri" w:hAnsi="Calibri" w:cs="Calibri"/>
          <w:sz w:val="20"/>
          <w:szCs w:val="20"/>
        </w:rPr>
        <w:t>accurate</w:t>
      </w:r>
      <w:r>
        <w:rPr>
          <w:rFonts w:ascii="Calibri" w:eastAsia="Calibri" w:hAnsi="Calibri" w:cs="Calibri"/>
          <w:sz w:val="20"/>
          <w:szCs w:val="20"/>
        </w:rPr>
        <w:t xml:space="preserve"> classification. Our results highlight the utility of PSICHIC in drug discovery and </w:t>
      </w:r>
      <w:r w:rsidR="008E3A2F">
        <w:rPr>
          <w:rFonts w:ascii="Calibri" w:eastAsia="Calibri" w:hAnsi="Calibri" w:cs="Calibri"/>
          <w:sz w:val="20"/>
          <w:szCs w:val="20"/>
        </w:rPr>
        <w:t>the potential for this approach to provide</w:t>
      </w:r>
      <w:r>
        <w:rPr>
          <w:rFonts w:ascii="Calibri" w:eastAsia="Calibri" w:hAnsi="Calibri" w:cs="Calibri"/>
          <w:sz w:val="20"/>
          <w:szCs w:val="20"/>
        </w:rPr>
        <w:t xml:space="preserve"> pharmacological insights.</w:t>
      </w:r>
    </w:p>
    <w:p w14:paraId="1F4D9BBC" w14:textId="0B1298CA" w:rsidR="002C3CCA" w:rsidRDefault="00057690">
      <w:pPr>
        <w:jc w:val="both"/>
        <w:rPr>
          <w:rFonts w:ascii="Calibri" w:eastAsia="Calibri" w:hAnsi="Calibri" w:cs="Calibri"/>
          <w:sz w:val="20"/>
          <w:szCs w:val="20"/>
          <w:vertAlign w:val="superscript"/>
        </w:rPr>
      </w:pPr>
      <w:r>
        <w:rPr>
          <w:rFonts w:ascii="Calibri" w:eastAsia="Calibri" w:hAnsi="Calibri" w:cs="Calibri"/>
          <w:sz w:val="20"/>
          <w:szCs w:val="20"/>
        </w:rPr>
        <w:t xml:space="preserve">Koh HY et al. (2024) Nat Mach Intel 6:673-687. </w:t>
      </w:r>
    </w:p>
    <w:sectPr w:rsidR="002C3CCA">
      <w:pgSz w:w="11906" w:h="8391" w:orient="landscape"/>
      <w:pgMar w:top="851" w:right="1134" w:bottom="851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DBB81" w14:textId="77777777" w:rsidR="00B460D2" w:rsidRDefault="00B460D2">
      <w:r>
        <w:separator/>
      </w:r>
    </w:p>
  </w:endnote>
  <w:endnote w:type="continuationSeparator" w:id="0">
    <w:p w14:paraId="1B235864" w14:textId="77777777" w:rsidR="00B460D2" w:rsidRDefault="00B46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E86E522-4713-47D3-84DE-B5794B7E32C9}"/>
    <w:embedBold r:id="rId2" w:fontKey="{5E36591E-29DC-4400-A812-FC5D136ADE1A}"/>
    <w:embedItalic r:id="rId3" w:fontKey="{E83DE1A4-2F4C-403A-8B98-353021AF725D}"/>
    <w:embedBoldItalic r:id="rId4" w:fontKey="{237BA797-BF2A-4703-8E24-31B70B27FC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6BAC5060-CE8E-4AA1-A944-BB6219F825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236419E-326D-46C7-AAC0-E524CF1AEF4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0CB287" w14:textId="77777777" w:rsidR="00B460D2" w:rsidRDefault="00B460D2">
      <w:r>
        <w:separator/>
      </w:r>
    </w:p>
  </w:footnote>
  <w:footnote w:type="continuationSeparator" w:id="0">
    <w:p w14:paraId="22BD6811" w14:textId="77777777" w:rsidR="00B460D2" w:rsidRDefault="00B460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CCA"/>
    <w:rsid w:val="000035F9"/>
    <w:rsid w:val="00051C3F"/>
    <w:rsid w:val="00057690"/>
    <w:rsid w:val="000B1924"/>
    <w:rsid w:val="00142AB5"/>
    <w:rsid w:val="001F100C"/>
    <w:rsid w:val="00217A1C"/>
    <w:rsid w:val="00265355"/>
    <w:rsid w:val="002C3CCA"/>
    <w:rsid w:val="003106E1"/>
    <w:rsid w:val="003476A9"/>
    <w:rsid w:val="003548EE"/>
    <w:rsid w:val="00466DE0"/>
    <w:rsid w:val="00531DFE"/>
    <w:rsid w:val="00532911"/>
    <w:rsid w:val="005564B7"/>
    <w:rsid w:val="005A27BE"/>
    <w:rsid w:val="006B164B"/>
    <w:rsid w:val="00797E8B"/>
    <w:rsid w:val="007B11A1"/>
    <w:rsid w:val="00813AB6"/>
    <w:rsid w:val="00844408"/>
    <w:rsid w:val="008E3A2F"/>
    <w:rsid w:val="009A073A"/>
    <w:rsid w:val="00B460D2"/>
    <w:rsid w:val="00B5580C"/>
    <w:rsid w:val="00BA047D"/>
    <w:rsid w:val="00C0004D"/>
    <w:rsid w:val="00C81E74"/>
    <w:rsid w:val="00C92081"/>
    <w:rsid w:val="00CC3947"/>
    <w:rsid w:val="00CC6373"/>
    <w:rsid w:val="00D6201A"/>
    <w:rsid w:val="00E30530"/>
    <w:rsid w:val="00F25870"/>
    <w:rsid w:val="00F8014A"/>
    <w:rsid w:val="00FA4663"/>
    <w:rsid w:val="00FC3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C28CDE"/>
  <w15:docId w15:val="{F5AC6182-817B-7B46-BFFB-1020F3F9F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A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120" w:after="60"/>
      <w:jc w:val="center"/>
      <w:outlineLvl w:val="2"/>
    </w:pPr>
    <w:rPr>
      <w:b/>
      <w:bCs/>
      <w:smallCap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rFonts w:ascii="Calibri" w:eastAsia="Calibri" w:hAnsi="Calibri" w:cs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on">
    <w:name w:val="Revision"/>
    <w:hidden/>
    <w:uiPriority w:val="99"/>
    <w:semiHidden/>
    <w:rsid w:val="008E3A2F"/>
  </w:style>
  <w:style w:type="paragraph" w:styleId="Header">
    <w:name w:val="header"/>
    <w:basedOn w:val="Normal"/>
    <w:link w:val="HeaderChar"/>
    <w:uiPriority w:val="99"/>
    <w:unhideWhenUsed/>
    <w:rsid w:val="003476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476A9"/>
  </w:style>
  <w:style w:type="paragraph" w:styleId="Footer">
    <w:name w:val="footer"/>
    <w:basedOn w:val="Normal"/>
    <w:link w:val="FooterChar"/>
    <w:uiPriority w:val="99"/>
    <w:unhideWhenUsed/>
    <w:rsid w:val="003476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47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344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Monash University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Lonsdale</dc:creator>
  <cp:lastModifiedBy>Thomas Lonsdale</cp:lastModifiedBy>
  <cp:revision>4</cp:revision>
  <dcterms:created xsi:type="dcterms:W3CDTF">2026-02-16T06:16:00Z</dcterms:created>
  <dcterms:modified xsi:type="dcterms:W3CDTF">2026-02-16T06:21:00Z</dcterms:modified>
</cp:coreProperties>
</file>