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56376" w14:textId="66CF17E2" w:rsidR="00B47B9A" w:rsidRPr="00D45675" w:rsidRDefault="00D8780A" w:rsidP="00B47B9A">
      <w:pPr>
        <w:pStyle w:val="Title"/>
        <w:rPr>
          <w:rFonts w:ascii="Calibri" w:hAnsi="Calibri" w:cs="Calibri"/>
          <w:sz w:val="24"/>
          <w:szCs w:val="24"/>
        </w:rPr>
      </w:pPr>
      <w:r w:rsidRPr="00D45675">
        <w:rPr>
          <w:rFonts w:ascii="Calibri" w:hAnsi="Calibri" w:cs="Calibri"/>
        </w:rPr>
        <w:t>The effect of f</w:t>
      </w:r>
      <w:r w:rsidR="00B47B9A" w:rsidRPr="00D45675">
        <w:rPr>
          <w:rFonts w:ascii="Calibri" w:hAnsi="Calibri" w:cs="Calibri"/>
        </w:rPr>
        <w:t xml:space="preserve">luorescent </w:t>
      </w:r>
      <w:r w:rsidRPr="00D45675">
        <w:rPr>
          <w:rFonts w:ascii="Calibri" w:hAnsi="Calibri" w:cs="Calibri"/>
        </w:rPr>
        <w:t>n</w:t>
      </w:r>
      <w:r w:rsidR="00B47B9A" w:rsidRPr="00D45675">
        <w:rPr>
          <w:rFonts w:ascii="Calibri" w:hAnsi="Calibri" w:cs="Calibri"/>
        </w:rPr>
        <w:t>anodiamond</w:t>
      </w:r>
      <w:r w:rsidR="00F578E9">
        <w:rPr>
          <w:rFonts w:ascii="Calibri" w:hAnsi="Calibri" w:cs="Calibri"/>
        </w:rPr>
        <w:t xml:space="preserve"> </w:t>
      </w:r>
      <w:r w:rsidR="00F578E9" w:rsidRPr="00D45675">
        <w:rPr>
          <w:rFonts w:ascii="Calibri" w:hAnsi="Calibri" w:cs="Calibri"/>
        </w:rPr>
        <w:t>particle size</w:t>
      </w:r>
      <w:r w:rsidR="00DE3FD4">
        <w:rPr>
          <w:rFonts w:ascii="Calibri" w:hAnsi="Calibri" w:cs="Calibri"/>
        </w:rPr>
        <w:t xml:space="preserve"> on</w:t>
      </w:r>
      <w:r w:rsidR="00B47B9A" w:rsidRPr="00D45675">
        <w:rPr>
          <w:rFonts w:ascii="Calibri" w:hAnsi="Calibri" w:cs="Calibri"/>
        </w:rPr>
        <w:t xml:space="preserve"> </w:t>
      </w:r>
      <w:r w:rsidRPr="00D45675">
        <w:rPr>
          <w:rFonts w:ascii="Calibri" w:hAnsi="Calibri" w:cs="Calibri"/>
        </w:rPr>
        <w:t xml:space="preserve">cellular </w:t>
      </w:r>
      <w:r w:rsidR="00A105C1">
        <w:rPr>
          <w:rFonts w:ascii="Calibri" w:hAnsi="Calibri" w:cs="Calibri"/>
        </w:rPr>
        <w:t>function</w:t>
      </w:r>
    </w:p>
    <w:p w14:paraId="547BAADC" w14:textId="79E20216" w:rsidR="00B47B9A" w:rsidRPr="00D45675" w:rsidRDefault="00B47B9A" w:rsidP="00703B3E">
      <w:pPr>
        <w:spacing w:before="240"/>
        <w:jc w:val="center"/>
        <w:rPr>
          <w:rFonts w:ascii="Calibri" w:hAnsi="Calibri" w:cs="Calibri"/>
          <w:i/>
          <w:iCs/>
        </w:rPr>
      </w:pPr>
      <w:r w:rsidRPr="00D45675">
        <w:rPr>
          <w:rFonts w:ascii="Calibri" w:hAnsi="Calibri" w:cs="Calibri"/>
          <w:i/>
          <w:iCs/>
        </w:rPr>
        <w:t xml:space="preserve">Emma R. </w:t>
      </w:r>
      <w:proofErr w:type="spellStart"/>
      <w:r w:rsidRPr="00D45675">
        <w:rPr>
          <w:rFonts w:ascii="Calibri" w:hAnsi="Calibri" w:cs="Calibri"/>
          <w:i/>
          <w:iCs/>
        </w:rPr>
        <w:t>Wilson</w:t>
      </w:r>
      <w:r w:rsidRPr="00D45675">
        <w:rPr>
          <w:rFonts w:ascii="Calibri" w:hAnsi="Calibri" w:cs="Calibri"/>
          <w:i/>
          <w:iCs/>
          <w:vertAlign w:val="superscript"/>
        </w:rPr>
        <w:t>A</w:t>
      </w:r>
      <w:proofErr w:type="spellEnd"/>
      <w:r w:rsidRPr="00D45675">
        <w:rPr>
          <w:rFonts w:ascii="Calibri" w:hAnsi="Calibri" w:cs="Calibri"/>
          <w:i/>
          <w:iCs/>
        </w:rPr>
        <w:t xml:space="preserve">, Amanda N. </w:t>
      </w:r>
      <w:proofErr w:type="spellStart"/>
      <w:r w:rsidRPr="00D45675">
        <w:rPr>
          <w:rFonts w:ascii="Calibri" w:hAnsi="Calibri" w:cs="Calibri"/>
          <w:i/>
          <w:iCs/>
        </w:rPr>
        <w:t>Abraham</w:t>
      </w:r>
      <w:r w:rsidRPr="00D45675">
        <w:rPr>
          <w:rFonts w:ascii="Calibri" w:hAnsi="Calibri" w:cs="Calibri"/>
          <w:i/>
          <w:iCs/>
          <w:vertAlign w:val="superscript"/>
        </w:rPr>
        <w:t>A</w:t>
      </w:r>
      <w:proofErr w:type="spellEnd"/>
      <w:r w:rsidRPr="00D45675">
        <w:rPr>
          <w:rFonts w:ascii="Calibri" w:hAnsi="Calibri" w:cs="Calibri"/>
          <w:i/>
          <w:iCs/>
        </w:rPr>
        <w:t xml:space="preserve">, Lindsay M. </w:t>
      </w:r>
      <w:proofErr w:type="spellStart"/>
      <w:r w:rsidRPr="00D45675">
        <w:rPr>
          <w:rFonts w:ascii="Calibri" w:hAnsi="Calibri" w:cs="Calibri"/>
          <w:i/>
          <w:iCs/>
        </w:rPr>
        <w:t>Parker</w:t>
      </w:r>
      <w:r w:rsidRPr="00D45675">
        <w:rPr>
          <w:rFonts w:ascii="Calibri" w:hAnsi="Calibri" w:cs="Calibri"/>
          <w:i/>
          <w:iCs/>
          <w:vertAlign w:val="superscript"/>
        </w:rPr>
        <w:t>B</w:t>
      </w:r>
      <w:proofErr w:type="spellEnd"/>
      <w:r w:rsidRPr="00D45675">
        <w:rPr>
          <w:rFonts w:ascii="Calibri" w:hAnsi="Calibri" w:cs="Calibri"/>
          <w:i/>
          <w:iCs/>
        </w:rPr>
        <w:t xml:space="preserve">, Philipp </w:t>
      </w:r>
      <w:proofErr w:type="spellStart"/>
      <w:r w:rsidRPr="00D45675">
        <w:rPr>
          <w:rFonts w:ascii="Calibri" w:hAnsi="Calibri" w:cs="Calibri"/>
          <w:i/>
          <w:iCs/>
        </w:rPr>
        <w:t>Reineck</w:t>
      </w:r>
      <w:r w:rsidRPr="00D45675">
        <w:rPr>
          <w:rFonts w:ascii="Calibri" w:hAnsi="Calibri" w:cs="Calibri"/>
          <w:i/>
          <w:iCs/>
          <w:vertAlign w:val="superscript"/>
        </w:rPr>
        <w:t>A</w:t>
      </w:r>
      <w:proofErr w:type="spellEnd"/>
      <w:r w:rsidRPr="00D45675">
        <w:rPr>
          <w:rFonts w:ascii="Calibri" w:hAnsi="Calibri" w:cs="Calibri"/>
          <w:i/>
          <w:iCs/>
          <w:vertAlign w:val="superscript"/>
        </w:rPr>
        <w:t xml:space="preserve"> </w:t>
      </w:r>
      <w:r w:rsidR="00D8780A" w:rsidRPr="00D45675">
        <w:rPr>
          <w:rFonts w:ascii="Calibri" w:hAnsi="Calibri" w:cs="Calibri"/>
          <w:i/>
          <w:iCs/>
          <w:vertAlign w:val="superscript"/>
        </w:rPr>
        <w:t xml:space="preserve"> </w:t>
      </w:r>
      <w:r w:rsidRPr="00D45675">
        <w:rPr>
          <w:rFonts w:ascii="Calibri" w:hAnsi="Calibri" w:cs="Calibri"/>
          <w:i/>
          <w:iCs/>
        </w:rPr>
        <w:t xml:space="preserve">and Brant C. </w:t>
      </w:r>
      <w:proofErr w:type="spellStart"/>
      <w:r w:rsidRPr="00D45675">
        <w:rPr>
          <w:rFonts w:ascii="Calibri" w:hAnsi="Calibri" w:cs="Calibri"/>
          <w:i/>
          <w:iCs/>
        </w:rPr>
        <w:t>Gibson</w:t>
      </w:r>
      <w:r w:rsidRPr="00D45675">
        <w:rPr>
          <w:rFonts w:ascii="Calibri" w:hAnsi="Calibri" w:cs="Calibri"/>
          <w:i/>
          <w:iCs/>
          <w:vertAlign w:val="superscript"/>
        </w:rPr>
        <w:t>A</w:t>
      </w:r>
      <w:proofErr w:type="spellEnd"/>
    </w:p>
    <w:p w14:paraId="04E110A0" w14:textId="20273C41" w:rsidR="00B47B9A" w:rsidRPr="00D45675" w:rsidRDefault="00B47B9A" w:rsidP="00B47B9A">
      <w:pPr>
        <w:pStyle w:val="IOPAff"/>
        <w:rPr>
          <w:rFonts w:ascii="Calibri" w:hAnsi="Calibri" w:cs="Calibri"/>
          <w:color w:val="000000" w:themeColor="text1"/>
          <w:sz w:val="20"/>
          <w:szCs w:val="20"/>
        </w:rPr>
      </w:pPr>
      <w:r w:rsidRPr="00D45675">
        <w:rPr>
          <w:rFonts w:ascii="Calibri" w:hAnsi="Calibri" w:cs="Calibri"/>
          <w:color w:val="000000" w:themeColor="text1"/>
          <w:sz w:val="20"/>
          <w:szCs w:val="20"/>
          <w:vertAlign w:val="superscript"/>
        </w:rPr>
        <w:t>A</w:t>
      </w:r>
      <w:r w:rsidRPr="00D45675">
        <w:rPr>
          <w:rFonts w:ascii="Calibri" w:hAnsi="Calibri" w:cs="Calibri"/>
          <w:color w:val="000000" w:themeColor="text1"/>
          <w:sz w:val="20"/>
          <w:szCs w:val="20"/>
        </w:rPr>
        <w:t xml:space="preserve">ARC Centre of Excellence for Nanoscale </w:t>
      </w:r>
      <w:proofErr w:type="spellStart"/>
      <w:r w:rsidRPr="00D45675">
        <w:rPr>
          <w:rFonts w:ascii="Calibri" w:hAnsi="Calibri" w:cs="Calibri"/>
          <w:color w:val="000000" w:themeColor="text1"/>
          <w:sz w:val="20"/>
          <w:szCs w:val="20"/>
        </w:rPr>
        <w:t>BioPhotonics</w:t>
      </w:r>
      <w:proofErr w:type="spellEnd"/>
      <w:r w:rsidRPr="00D45675">
        <w:rPr>
          <w:rFonts w:ascii="Calibri" w:hAnsi="Calibri" w:cs="Calibri"/>
          <w:color w:val="000000" w:themeColor="text1"/>
          <w:sz w:val="20"/>
          <w:szCs w:val="20"/>
        </w:rPr>
        <w:t>, School of Science, RMIT University, Melbourne, VIC 3001, Australia</w:t>
      </w:r>
    </w:p>
    <w:p w14:paraId="494785D8" w14:textId="6F389444" w:rsidR="00B47B9A" w:rsidRPr="00D45675" w:rsidRDefault="00B47B9A" w:rsidP="00B47B9A">
      <w:pPr>
        <w:pStyle w:val="IOPAff"/>
        <w:rPr>
          <w:rFonts w:ascii="Calibri" w:hAnsi="Calibri" w:cs="Calibri"/>
          <w:color w:val="000000" w:themeColor="text1"/>
          <w:sz w:val="20"/>
          <w:szCs w:val="20"/>
        </w:rPr>
      </w:pPr>
      <w:r w:rsidRPr="00D45675">
        <w:rPr>
          <w:rFonts w:ascii="Calibri" w:hAnsi="Calibri" w:cs="Calibri"/>
          <w:color w:val="000000" w:themeColor="text1"/>
          <w:sz w:val="20"/>
          <w:szCs w:val="20"/>
          <w:vertAlign w:val="superscript"/>
        </w:rPr>
        <w:t>B</w:t>
      </w:r>
      <w:r w:rsidRPr="00D45675">
        <w:rPr>
          <w:rFonts w:ascii="Calibri" w:hAnsi="Calibri" w:cs="Calibri"/>
          <w:color w:val="000000" w:themeColor="text1"/>
          <w:sz w:val="20"/>
          <w:szCs w:val="20"/>
        </w:rPr>
        <w:t xml:space="preserve">ARC Centre of Excellence for Nanoscale </w:t>
      </w:r>
      <w:proofErr w:type="spellStart"/>
      <w:r w:rsidRPr="00D45675">
        <w:rPr>
          <w:rFonts w:ascii="Calibri" w:hAnsi="Calibri" w:cs="Calibri"/>
          <w:color w:val="000000" w:themeColor="text1"/>
          <w:sz w:val="20"/>
          <w:szCs w:val="20"/>
        </w:rPr>
        <w:t>BioPhotonics</w:t>
      </w:r>
      <w:proofErr w:type="spellEnd"/>
      <w:r w:rsidRPr="00D45675">
        <w:rPr>
          <w:rFonts w:ascii="Calibri" w:hAnsi="Calibri" w:cs="Calibri"/>
          <w:color w:val="000000" w:themeColor="text1"/>
          <w:sz w:val="20"/>
          <w:szCs w:val="20"/>
        </w:rPr>
        <w:t>, Department of Molecular Sciences, Macquarie University, Sydney, NSW 2109, Australia</w:t>
      </w:r>
    </w:p>
    <w:p w14:paraId="49EF8C2D" w14:textId="5B0AF7FB" w:rsidR="00711813" w:rsidRPr="00D45675" w:rsidRDefault="00B47B9A" w:rsidP="00B47B9A">
      <w:pPr>
        <w:pStyle w:val="Footer"/>
        <w:rPr>
          <w:rFonts w:ascii="Calibri" w:hAnsi="Calibri" w:cs="Calibri"/>
          <w:sz w:val="20"/>
          <w:szCs w:val="20"/>
        </w:rPr>
      </w:pPr>
      <w:r w:rsidRPr="00D45675">
        <w:rPr>
          <w:rFonts w:ascii="Calibri" w:hAnsi="Calibri" w:cs="Calibri"/>
          <w:color w:val="000000" w:themeColor="text1"/>
          <w:sz w:val="20"/>
          <w:szCs w:val="20"/>
        </w:rPr>
        <w:t xml:space="preserve">E-mail: </w:t>
      </w:r>
      <w:r w:rsidR="008B29AB">
        <w:rPr>
          <w:rFonts w:ascii="Calibri" w:hAnsi="Calibri" w:cs="Calibri"/>
          <w:sz w:val="20"/>
          <w:szCs w:val="20"/>
        </w:rPr>
        <w:t>emma.wilson2</w:t>
      </w:r>
      <w:r w:rsidRPr="00D45675">
        <w:rPr>
          <w:rFonts w:ascii="Calibri" w:hAnsi="Calibri" w:cs="Calibri"/>
          <w:sz w:val="20"/>
          <w:szCs w:val="20"/>
        </w:rPr>
        <w:t>@rmit.edu.au</w:t>
      </w:r>
    </w:p>
    <w:p w14:paraId="05E17889" w14:textId="38F08F16" w:rsidR="00711813" w:rsidRPr="00D45675" w:rsidRDefault="00711813" w:rsidP="00B47B9A">
      <w:pPr>
        <w:pStyle w:val="Default"/>
        <w:jc w:val="both"/>
        <w:rPr>
          <w:color w:val="auto"/>
          <w:sz w:val="22"/>
          <w:szCs w:val="22"/>
          <w:lang w:val="en-AU"/>
        </w:rPr>
      </w:pPr>
      <w:r w:rsidRPr="00D45675">
        <w:rPr>
          <w:i/>
          <w:color w:val="auto"/>
          <w:sz w:val="22"/>
          <w:szCs w:val="22"/>
        </w:rPr>
        <w:t xml:space="preserve"> </w:t>
      </w:r>
    </w:p>
    <w:p w14:paraId="60811853" w14:textId="77777777" w:rsidR="00F11DE2" w:rsidRPr="00F11DE2" w:rsidRDefault="00F11DE2" w:rsidP="00ED6E46">
      <w:pPr>
        <w:jc w:val="both"/>
        <w:rPr>
          <w:rFonts w:ascii="Calibri" w:hAnsi="Calibri" w:cs="Calibri"/>
          <w:sz w:val="22"/>
          <w:szCs w:val="22"/>
          <w:lang w:val="en-AU"/>
        </w:rPr>
      </w:pPr>
      <w:r w:rsidRPr="00F11DE2">
        <w:rPr>
          <w:rFonts w:ascii="Calibri" w:hAnsi="Calibri" w:cs="Calibri"/>
          <w:sz w:val="22"/>
          <w:szCs w:val="22"/>
          <w:lang w:val="en-AU"/>
        </w:rPr>
        <w:t>Introduction</w:t>
      </w:r>
    </w:p>
    <w:p w14:paraId="538F0570" w14:textId="77777777" w:rsidR="00F11DE2" w:rsidRPr="00F11DE2" w:rsidRDefault="00F11DE2" w:rsidP="00ED6E46">
      <w:pPr>
        <w:jc w:val="both"/>
        <w:rPr>
          <w:rFonts w:ascii="Calibri" w:hAnsi="Calibri" w:cs="Calibri"/>
          <w:sz w:val="22"/>
          <w:szCs w:val="22"/>
          <w:lang w:val="en-AU"/>
        </w:rPr>
      </w:pPr>
      <w:r w:rsidRPr="00F11DE2">
        <w:rPr>
          <w:rFonts w:ascii="Calibri" w:hAnsi="Calibri" w:cs="Calibri"/>
          <w:sz w:val="22"/>
          <w:szCs w:val="22"/>
          <w:lang w:val="en-AU"/>
        </w:rPr>
        <w:t xml:space="preserve">Fluorescent nanodiamonds made from high-pressure high-temperature diamond can be produced in sizes from 10 nm to several hundred nanometres. Their fluorescence brightness is size-dependent: 100 nm sized particles are many orders of magnitude brighter than 10 nm sized particles [1]. While 100 nm particles can be clearly imaged in cellular systems, for many experiments in biology particles well below 100 nm in size are desirable. It is known from experiments conducted with other nanoparticles that particle size strongly affects how cells respond to and interact with nanoparticles [2]. However, the effect nanodiamond particle size has on cell stress, uptake, and viability is not clearly understood. </w:t>
      </w:r>
    </w:p>
    <w:p w14:paraId="30D078FF" w14:textId="77777777" w:rsidR="00F11DE2" w:rsidRPr="00F11DE2" w:rsidRDefault="00F11DE2" w:rsidP="00ED6E46">
      <w:pPr>
        <w:jc w:val="both"/>
        <w:rPr>
          <w:rFonts w:ascii="Calibri" w:hAnsi="Calibri" w:cs="Calibri"/>
          <w:sz w:val="22"/>
          <w:szCs w:val="22"/>
          <w:lang w:val="en-AU"/>
        </w:rPr>
      </w:pPr>
      <w:r w:rsidRPr="00F11DE2">
        <w:rPr>
          <w:rFonts w:ascii="Calibri" w:hAnsi="Calibri" w:cs="Calibri"/>
          <w:sz w:val="22"/>
          <w:szCs w:val="22"/>
          <w:lang w:val="en-AU"/>
        </w:rPr>
        <w:t xml:space="preserve">Here we have investigated the effect particle size has on the biological interactions of the nanodiamonds and the biological response to the presence of different sized nanodiamond particles. We examine how nanodiamond particles ranging in sizes from 20-140 nm effect, cell viability, cell cycle, reactive oxygen stress (ROS), caspase-3/7 apoptosis and nanoparticle uptake in two different cell lines: U87-MG astrocyte and </w:t>
      </w:r>
      <w:proofErr w:type="spellStart"/>
      <w:r w:rsidRPr="00F11DE2">
        <w:rPr>
          <w:rFonts w:ascii="Calibri" w:hAnsi="Calibri" w:cs="Calibri"/>
          <w:sz w:val="22"/>
          <w:szCs w:val="22"/>
          <w:lang w:val="en-AU"/>
        </w:rPr>
        <w:t>HaCaT</w:t>
      </w:r>
      <w:proofErr w:type="spellEnd"/>
      <w:r w:rsidRPr="00F11DE2">
        <w:rPr>
          <w:rFonts w:ascii="Calibri" w:hAnsi="Calibri" w:cs="Calibri"/>
          <w:sz w:val="22"/>
          <w:szCs w:val="22"/>
          <w:lang w:val="en-AU"/>
        </w:rPr>
        <w:t xml:space="preserve"> keratinocytes cells. </w:t>
      </w:r>
    </w:p>
    <w:p w14:paraId="48BEAA46" w14:textId="77777777" w:rsidR="00F11DE2" w:rsidRPr="00F11DE2" w:rsidRDefault="00F11DE2" w:rsidP="00ED6E46">
      <w:pPr>
        <w:spacing w:before="120"/>
        <w:jc w:val="both"/>
        <w:rPr>
          <w:rFonts w:ascii="Calibri" w:hAnsi="Calibri" w:cs="Calibri"/>
          <w:sz w:val="22"/>
          <w:szCs w:val="22"/>
          <w:lang w:val="en-AU"/>
        </w:rPr>
      </w:pPr>
      <w:r w:rsidRPr="00F11DE2">
        <w:rPr>
          <w:rFonts w:ascii="Calibri" w:hAnsi="Calibri" w:cs="Calibri"/>
          <w:sz w:val="22"/>
          <w:szCs w:val="22"/>
          <w:lang w:val="en-AU"/>
        </w:rPr>
        <w:t xml:space="preserve">Results and discussion </w:t>
      </w:r>
    </w:p>
    <w:p w14:paraId="55971EE3" w14:textId="0C0D008C" w:rsidR="00F11DE2" w:rsidRPr="00F11DE2" w:rsidRDefault="00F11DE2" w:rsidP="00ED6E46">
      <w:pPr>
        <w:jc w:val="both"/>
        <w:rPr>
          <w:rFonts w:ascii="Calibri" w:hAnsi="Calibri" w:cs="Calibri"/>
          <w:sz w:val="22"/>
          <w:szCs w:val="22"/>
          <w:lang w:val="en-AU"/>
        </w:rPr>
      </w:pPr>
      <w:r w:rsidRPr="00F11DE2">
        <w:rPr>
          <w:rFonts w:ascii="Calibri" w:hAnsi="Calibri" w:cs="Calibri"/>
          <w:sz w:val="22"/>
          <w:szCs w:val="22"/>
          <w:lang w:val="en-AU"/>
        </w:rPr>
        <w:t xml:space="preserve">We observe a decrease in cell viability in diamond treated </w:t>
      </w:r>
      <w:r w:rsidR="00ED6E46">
        <w:rPr>
          <w:rFonts w:ascii="Calibri" w:hAnsi="Calibri" w:cs="Calibri"/>
          <w:sz w:val="22"/>
          <w:szCs w:val="22"/>
          <w:lang w:val="en-AU"/>
        </w:rPr>
        <w:t xml:space="preserve">cells </w:t>
      </w:r>
      <w:r w:rsidRPr="00F11DE2">
        <w:rPr>
          <w:rFonts w:ascii="Calibri" w:hAnsi="Calibri" w:cs="Calibri"/>
          <w:sz w:val="22"/>
          <w:szCs w:val="22"/>
          <w:lang w:val="en-AU"/>
        </w:rPr>
        <w:t xml:space="preserve">that is both size and concentration-dependent (Fig 1). The U87MG cell viability shows a decrease even at 5 </w:t>
      </w:r>
      <w:proofErr w:type="spellStart"/>
      <w:r w:rsidRPr="00F11DE2">
        <w:rPr>
          <w:rFonts w:ascii="Calibri" w:hAnsi="Calibri" w:cs="Calibri"/>
          <w:sz w:val="22"/>
          <w:szCs w:val="22"/>
          <w:lang w:val="en-AU"/>
        </w:rPr>
        <w:t>μg</w:t>
      </w:r>
      <w:proofErr w:type="spellEnd"/>
      <w:r w:rsidRPr="00F11DE2">
        <w:rPr>
          <w:rFonts w:ascii="Calibri" w:hAnsi="Calibri" w:cs="Calibri"/>
          <w:sz w:val="22"/>
          <w:szCs w:val="22"/>
          <w:lang w:val="en-AU"/>
        </w:rPr>
        <w:t xml:space="preserve"> mL</w:t>
      </w:r>
      <w:r w:rsidRPr="00F11DE2">
        <w:rPr>
          <w:rFonts w:ascii="Calibri" w:hAnsi="Calibri" w:cs="Calibri"/>
          <w:sz w:val="22"/>
          <w:szCs w:val="22"/>
          <w:vertAlign w:val="superscript"/>
          <w:lang w:val="en-AU"/>
        </w:rPr>
        <w:t>-1</w:t>
      </w:r>
      <w:r w:rsidRPr="00F11DE2">
        <w:rPr>
          <w:rFonts w:ascii="Calibri" w:hAnsi="Calibri" w:cs="Calibri"/>
          <w:sz w:val="22"/>
          <w:szCs w:val="22"/>
          <w:lang w:val="en-AU"/>
        </w:rPr>
        <w:t xml:space="preserve">, while the </w:t>
      </w:r>
      <w:proofErr w:type="spellStart"/>
      <w:r w:rsidRPr="00F11DE2">
        <w:rPr>
          <w:rFonts w:ascii="Calibri" w:hAnsi="Calibri" w:cs="Calibri"/>
          <w:sz w:val="22"/>
          <w:szCs w:val="22"/>
          <w:lang w:val="en-AU"/>
        </w:rPr>
        <w:t>HaCaTs</w:t>
      </w:r>
      <w:proofErr w:type="spellEnd"/>
      <w:r w:rsidRPr="00F11DE2">
        <w:rPr>
          <w:rFonts w:ascii="Calibri" w:hAnsi="Calibri" w:cs="Calibri"/>
          <w:sz w:val="22"/>
          <w:szCs w:val="22"/>
          <w:lang w:val="en-AU"/>
        </w:rPr>
        <w:t xml:space="preserve"> show no difference in viability at the lower concentration. Both cell line</w:t>
      </w:r>
      <w:r w:rsidR="00ED6E46">
        <w:rPr>
          <w:rFonts w:ascii="Calibri" w:hAnsi="Calibri" w:cs="Calibri"/>
          <w:sz w:val="22"/>
          <w:szCs w:val="22"/>
          <w:lang w:val="en-AU"/>
        </w:rPr>
        <w:t>s</w:t>
      </w:r>
      <w:r w:rsidRPr="00F11DE2">
        <w:rPr>
          <w:rFonts w:ascii="Calibri" w:hAnsi="Calibri" w:cs="Calibri"/>
          <w:sz w:val="22"/>
          <w:szCs w:val="22"/>
          <w:lang w:val="en-AU"/>
        </w:rPr>
        <w:t xml:space="preserve"> shows a significant decrease in cell viability at 25 </w:t>
      </w:r>
      <w:proofErr w:type="spellStart"/>
      <w:r w:rsidRPr="00F11DE2">
        <w:rPr>
          <w:rFonts w:ascii="Calibri" w:hAnsi="Calibri" w:cs="Calibri"/>
          <w:sz w:val="22"/>
          <w:szCs w:val="22"/>
          <w:lang w:val="en-AU"/>
        </w:rPr>
        <w:t>μg</w:t>
      </w:r>
      <w:proofErr w:type="spellEnd"/>
      <w:r w:rsidRPr="00F11DE2">
        <w:rPr>
          <w:rFonts w:ascii="Calibri" w:hAnsi="Calibri" w:cs="Calibri"/>
          <w:sz w:val="22"/>
          <w:szCs w:val="22"/>
          <w:lang w:val="en-AU"/>
        </w:rPr>
        <w:t xml:space="preserve"> mL</w:t>
      </w:r>
      <w:r w:rsidRPr="00F11DE2">
        <w:rPr>
          <w:rFonts w:ascii="Calibri" w:hAnsi="Calibri" w:cs="Calibri"/>
          <w:sz w:val="22"/>
          <w:szCs w:val="22"/>
          <w:vertAlign w:val="superscript"/>
          <w:lang w:val="en-AU"/>
        </w:rPr>
        <w:t>-1</w:t>
      </w:r>
      <w:r w:rsidRPr="00F11DE2">
        <w:rPr>
          <w:rFonts w:ascii="Calibri" w:hAnsi="Calibri" w:cs="Calibri"/>
          <w:sz w:val="22"/>
          <w:szCs w:val="22"/>
          <w:lang w:val="en-AU"/>
        </w:rPr>
        <w:t xml:space="preserve">, Further, at 25 </w:t>
      </w:r>
      <w:proofErr w:type="spellStart"/>
      <w:r w:rsidRPr="00F11DE2">
        <w:rPr>
          <w:rFonts w:ascii="Calibri" w:hAnsi="Calibri" w:cs="Calibri"/>
          <w:sz w:val="22"/>
          <w:szCs w:val="22"/>
          <w:lang w:val="en-AU"/>
        </w:rPr>
        <w:t>μg</w:t>
      </w:r>
      <w:proofErr w:type="spellEnd"/>
      <w:r w:rsidRPr="00F11DE2">
        <w:rPr>
          <w:rFonts w:ascii="Calibri" w:hAnsi="Calibri" w:cs="Calibri"/>
          <w:sz w:val="22"/>
          <w:szCs w:val="22"/>
          <w:lang w:val="en-AU"/>
        </w:rPr>
        <w:t xml:space="preserve"> mL</w:t>
      </w:r>
      <w:r w:rsidRPr="00F11DE2">
        <w:rPr>
          <w:rFonts w:ascii="Calibri" w:hAnsi="Calibri" w:cs="Calibri"/>
          <w:sz w:val="22"/>
          <w:szCs w:val="22"/>
          <w:vertAlign w:val="superscript"/>
          <w:lang w:val="en-AU"/>
        </w:rPr>
        <w:t>-1</w:t>
      </w:r>
      <w:r w:rsidRPr="00F11DE2">
        <w:rPr>
          <w:rFonts w:ascii="Calibri" w:hAnsi="Calibri" w:cs="Calibri"/>
          <w:sz w:val="22"/>
          <w:szCs w:val="22"/>
          <w:lang w:val="en-AU"/>
        </w:rPr>
        <w:t xml:space="preserve">, we note a relationship between nanodiamond size and </w:t>
      </w:r>
      <w:r w:rsidR="00ED6E46">
        <w:rPr>
          <w:rFonts w:ascii="Calibri" w:hAnsi="Calibri" w:cs="Calibri"/>
          <w:sz w:val="22"/>
          <w:szCs w:val="22"/>
          <w:lang w:val="en-AU"/>
        </w:rPr>
        <w:t xml:space="preserve">cell </w:t>
      </w:r>
      <w:r w:rsidRPr="00F11DE2">
        <w:rPr>
          <w:rFonts w:ascii="Calibri" w:hAnsi="Calibri" w:cs="Calibri"/>
          <w:sz w:val="22"/>
          <w:szCs w:val="22"/>
          <w:lang w:val="en-AU"/>
        </w:rPr>
        <w:t xml:space="preserve">viability. The 40-90 nm particles show a more significant decrease than the 20 nm and 140 nm particles. Similarly, cells treated with 25 </w:t>
      </w:r>
      <w:proofErr w:type="spellStart"/>
      <w:r w:rsidRPr="00F11DE2">
        <w:rPr>
          <w:rFonts w:ascii="Calibri" w:hAnsi="Calibri" w:cs="Calibri"/>
          <w:sz w:val="22"/>
          <w:szCs w:val="22"/>
          <w:lang w:val="en-AU"/>
        </w:rPr>
        <w:t>μg</w:t>
      </w:r>
      <w:proofErr w:type="spellEnd"/>
      <w:r w:rsidRPr="00F11DE2">
        <w:rPr>
          <w:rFonts w:ascii="Calibri" w:hAnsi="Calibri" w:cs="Calibri"/>
          <w:sz w:val="22"/>
          <w:szCs w:val="22"/>
          <w:lang w:val="en-AU"/>
        </w:rPr>
        <w:t xml:space="preserve"> mL</w:t>
      </w:r>
      <w:r w:rsidRPr="00F11DE2">
        <w:rPr>
          <w:rFonts w:ascii="Calibri" w:hAnsi="Calibri" w:cs="Calibri"/>
          <w:sz w:val="22"/>
          <w:szCs w:val="22"/>
          <w:vertAlign w:val="superscript"/>
          <w:lang w:val="en-AU"/>
        </w:rPr>
        <w:t>-1</w:t>
      </w:r>
      <w:r w:rsidRPr="00F11DE2">
        <w:rPr>
          <w:rFonts w:ascii="Calibri" w:hAnsi="Calibri" w:cs="Calibri"/>
          <w:sz w:val="22"/>
          <w:szCs w:val="22"/>
          <w:lang w:val="en-AU"/>
        </w:rPr>
        <w:t xml:space="preserve"> of diamond show ROS activity increases as the nominal particle size increase.</w:t>
      </w:r>
    </w:p>
    <w:p w14:paraId="6497BC1E" w14:textId="2188D40A" w:rsidR="00D45675" w:rsidRPr="00D45675" w:rsidRDefault="00F11DE2" w:rsidP="00ED6E46">
      <w:pPr>
        <w:jc w:val="both"/>
        <w:rPr>
          <w:rFonts w:ascii="Calibri" w:hAnsi="Calibri" w:cs="Calibri"/>
          <w:sz w:val="22"/>
          <w:szCs w:val="22"/>
        </w:rPr>
      </w:pPr>
      <w:r w:rsidRPr="00F11DE2">
        <w:rPr>
          <w:rFonts w:ascii="Calibri" w:hAnsi="Calibri" w:cs="Calibri"/>
          <w:sz w:val="22"/>
          <w:szCs w:val="22"/>
          <w:lang w:val="en-AU"/>
        </w:rPr>
        <w:t>Interestingly, when we examined cell death, diamond treated cells showed a significant delay in apoptosis compared to untreated cells. However, this apoptosis delay was only seen in the U87MG cells and not in other cell lines.</w:t>
      </w:r>
    </w:p>
    <w:tbl>
      <w:tblPr>
        <w:tblStyle w:val="TableGrid"/>
        <w:tblpPr w:leftFromText="180" w:rightFromText="180" w:vertAnchor="text" w:horzAnchor="margin" w:tblpXSpec="center" w:tblpY="9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6"/>
      </w:tblGrid>
      <w:tr w:rsidR="00447C37" w:rsidRPr="00D45675" w14:paraId="6DC8F4BE" w14:textId="77777777" w:rsidTr="00A105C1">
        <w:tc>
          <w:tcPr>
            <w:tcW w:w="8156" w:type="dxa"/>
          </w:tcPr>
          <w:p w14:paraId="3908FCB9" w14:textId="546D99AE" w:rsidR="00447C37" w:rsidRPr="00D45675" w:rsidRDefault="00A105C1" w:rsidP="00ED6E46">
            <w:pPr>
              <w:jc w:val="center"/>
              <w:rPr>
                <w:rFonts w:ascii="Calibri" w:hAnsi="Calibri" w:cs="Calibri"/>
                <w:sz w:val="22"/>
                <w:szCs w:val="22"/>
              </w:rPr>
            </w:pPr>
            <w:r>
              <w:rPr>
                <w:rFonts w:ascii="Calibri" w:hAnsi="Calibri" w:cs="Calibri"/>
                <w:noProof/>
                <w:sz w:val="22"/>
                <w:szCs w:val="22"/>
              </w:rPr>
              <w:drawing>
                <wp:inline distT="0" distB="0" distL="0" distR="0" wp14:anchorId="0BAD97A2" wp14:editId="13C6EE95">
                  <wp:extent cx="4698364" cy="18034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pdf"/>
                          <pic:cNvPicPr/>
                        </pic:nvPicPr>
                        <pic:blipFill rotWithShape="1">
                          <a:blip r:embed="rId5">
                            <a:extLst>
                              <a:ext uri="{28A0092B-C50C-407E-A947-70E740481C1C}">
                                <a14:useLocalDpi xmlns:a14="http://schemas.microsoft.com/office/drawing/2010/main" val="0"/>
                              </a:ext>
                            </a:extLst>
                          </a:blip>
                          <a:srcRect l="3178" t="42603" r="57946" b="30867"/>
                          <a:stretch/>
                        </pic:blipFill>
                        <pic:spPr bwMode="auto">
                          <a:xfrm>
                            <a:off x="0" y="0"/>
                            <a:ext cx="4698806" cy="1803570"/>
                          </a:xfrm>
                          <a:prstGeom prst="rect">
                            <a:avLst/>
                          </a:prstGeom>
                          <a:ln>
                            <a:noFill/>
                          </a:ln>
                          <a:extLst>
                            <a:ext uri="{53640926-AAD7-44D8-BBD7-CCE9431645EC}">
                              <a14:shadowObscured xmlns:a14="http://schemas.microsoft.com/office/drawing/2010/main"/>
                            </a:ext>
                          </a:extLst>
                        </pic:spPr>
                      </pic:pic>
                    </a:graphicData>
                  </a:graphic>
                </wp:inline>
              </w:drawing>
            </w:r>
          </w:p>
          <w:p w14:paraId="28D4262A" w14:textId="04B2F110" w:rsidR="00447C37" w:rsidRPr="00D45675" w:rsidRDefault="00447C37" w:rsidP="00ED6E46">
            <w:pPr>
              <w:jc w:val="both"/>
              <w:rPr>
                <w:rFonts w:ascii="Calibri" w:hAnsi="Calibri" w:cs="Calibri"/>
                <w:sz w:val="20"/>
                <w:szCs w:val="20"/>
              </w:rPr>
            </w:pPr>
            <w:r w:rsidRPr="00447C37">
              <w:rPr>
                <w:rFonts w:ascii="Calibri" w:hAnsi="Calibri" w:cs="Calibri"/>
                <w:b/>
                <w:bCs/>
                <w:sz w:val="20"/>
                <w:szCs w:val="20"/>
              </w:rPr>
              <w:t>Fig 1.</w:t>
            </w:r>
            <w:r w:rsidRPr="00D45675">
              <w:rPr>
                <w:rFonts w:ascii="Calibri" w:hAnsi="Calibri" w:cs="Calibri"/>
                <w:sz w:val="20"/>
                <w:szCs w:val="20"/>
              </w:rPr>
              <w:t xml:space="preserve"> Cell viability of U87</w:t>
            </w:r>
            <w:r w:rsidR="00780991">
              <w:rPr>
                <w:rFonts w:ascii="Calibri" w:hAnsi="Calibri" w:cs="Calibri"/>
                <w:sz w:val="20"/>
                <w:szCs w:val="20"/>
              </w:rPr>
              <w:t>-</w:t>
            </w:r>
            <w:r w:rsidRPr="00D45675">
              <w:rPr>
                <w:rFonts w:ascii="Calibri" w:hAnsi="Calibri" w:cs="Calibri"/>
                <w:sz w:val="20"/>
                <w:szCs w:val="20"/>
              </w:rPr>
              <w:t xml:space="preserve">MG </w:t>
            </w:r>
            <w:r w:rsidR="00E20606">
              <w:rPr>
                <w:rFonts w:ascii="Calibri" w:hAnsi="Calibri" w:cs="Calibri"/>
                <w:sz w:val="20"/>
                <w:szCs w:val="20"/>
              </w:rPr>
              <w:t xml:space="preserve">(A) and </w:t>
            </w:r>
            <w:proofErr w:type="spellStart"/>
            <w:r w:rsidR="00E20606">
              <w:rPr>
                <w:rFonts w:ascii="Calibri" w:hAnsi="Calibri" w:cs="Calibri"/>
                <w:sz w:val="20"/>
                <w:szCs w:val="20"/>
              </w:rPr>
              <w:t>HaCaT</w:t>
            </w:r>
            <w:proofErr w:type="spellEnd"/>
            <w:r w:rsidR="00E20606">
              <w:rPr>
                <w:rFonts w:ascii="Calibri" w:hAnsi="Calibri" w:cs="Calibri"/>
                <w:sz w:val="20"/>
                <w:szCs w:val="20"/>
              </w:rPr>
              <w:t xml:space="preserve"> (B) </w:t>
            </w:r>
            <w:r w:rsidRPr="00D45675">
              <w:rPr>
                <w:rFonts w:ascii="Calibri" w:hAnsi="Calibri" w:cs="Calibri"/>
                <w:sz w:val="20"/>
                <w:szCs w:val="20"/>
              </w:rPr>
              <w:t>cells in the presence of fluorescence nanodiamonds of various sizes. UNT = untreated control</w:t>
            </w:r>
            <w:r w:rsidR="00E20606">
              <w:rPr>
                <w:rFonts w:ascii="Calibri" w:hAnsi="Calibri" w:cs="Calibri"/>
                <w:sz w:val="20"/>
                <w:szCs w:val="20"/>
              </w:rPr>
              <w:t>, 24 hour incubation</w:t>
            </w:r>
            <w:r w:rsidR="00E20606">
              <w:rPr>
                <w:rFonts w:ascii="Calibri" w:hAnsi="Calibri" w:cs="Calibri"/>
                <w:sz w:val="22"/>
                <w:szCs w:val="22"/>
              </w:rPr>
              <w:t xml:space="preserve">, n = 10 and error bars </w:t>
            </w:r>
            <w:r w:rsidR="008E17B4">
              <w:rPr>
                <w:rFonts w:ascii="Calibri" w:hAnsi="Calibri" w:cs="Calibri"/>
                <w:sz w:val="22"/>
                <w:szCs w:val="22"/>
              </w:rPr>
              <w:t>are</w:t>
            </w:r>
            <w:bookmarkStart w:id="0" w:name="_GoBack"/>
            <w:bookmarkEnd w:id="0"/>
            <w:r w:rsidR="008E17B4">
              <w:rPr>
                <w:rFonts w:ascii="Calibri" w:hAnsi="Calibri" w:cs="Calibri"/>
                <w:sz w:val="22"/>
                <w:szCs w:val="22"/>
              </w:rPr>
              <w:t xml:space="preserve"> </w:t>
            </w:r>
            <w:r w:rsidR="00E20606">
              <w:rPr>
                <w:rFonts w:ascii="Calibri" w:hAnsi="Calibri" w:cs="Calibri"/>
                <w:sz w:val="22"/>
                <w:szCs w:val="22"/>
              </w:rPr>
              <w:t>standard deviation.</w:t>
            </w:r>
          </w:p>
        </w:tc>
      </w:tr>
    </w:tbl>
    <w:p w14:paraId="078D4501" w14:textId="08B1C4A3" w:rsidR="004E7E48" w:rsidRDefault="00F11DE2" w:rsidP="00ED6E46">
      <w:pPr>
        <w:jc w:val="both"/>
        <w:rPr>
          <w:rFonts w:ascii="Calibri" w:hAnsi="Calibri" w:cs="Calibri"/>
          <w:sz w:val="22"/>
          <w:szCs w:val="22"/>
        </w:rPr>
      </w:pPr>
      <w:r w:rsidRPr="00F11DE2">
        <w:rPr>
          <w:rFonts w:ascii="Calibri" w:hAnsi="Calibri" w:cs="Calibri"/>
          <w:sz w:val="22"/>
          <w:szCs w:val="22"/>
        </w:rPr>
        <w:t>Our study clearly shows that how cells respond to nanodiamonds depends on the particles’</w:t>
      </w:r>
      <w:r w:rsidR="00ED6E46">
        <w:rPr>
          <w:rFonts w:ascii="Calibri" w:hAnsi="Calibri" w:cs="Calibri"/>
          <w:sz w:val="22"/>
          <w:szCs w:val="22"/>
        </w:rPr>
        <w:t xml:space="preserve"> </w:t>
      </w:r>
      <w:r w:rsidRPr="00F11DE2">
        <w:rPr>
          <w:rFonts w:ascii="Calibri" w:hAnsi="Calibri" w:cs="Calibri"/>
          <w:sz w:val="22"/>
          <w:szCs w:val="22"/>
        </w:rPr>
        <w:t>size. This response also critically depends on the type of cell investigated, highlighting the need for a more detailed understanding of the interactions between nanomaterials and cells.</w:t>
      </w:r>
    </w:p>
    <w:p w14:paraId="64BD8B67" w14:textId="487B12EA" w:rsidR="00641190" w:rsidRPr="00D45675" w:rsidRDefault="00641190" w:rsidP="00CB24DC">
      <w:pPr>
        <w:spacing w:before="120"/>
        <w:jc w:val="both"/>
        <w:rPr>
          <w:rFonts w:ascii="Calibri" w:hAnsi="Calibri" w:cs="Calibri"/>
          <w:sz w:val="22"/>
          <w:szCs w:val="22"/>
        </w:rPr>
      </w:pPr>
    </w:p>
    <w:p w14:paraId="766DA9A5" w14:textId="60863F4C" w:rsidR="004E5450" w:rsidRPr="00D45675" w:rsidRDefault="004E5450" w:rsidP="00B47B9A">
      <w:pPr>
        <w:jc w:val="both"/>
        <w:rPr>
          <w:rFonts w:ascii="Calibri" w:hAnsi="Calibri" w:cs="Calibri"/>
          <w:sz w:val="22"/>
          <w:szCs w:val="22"/>
          <w:lang w:val="en-AU"/>
        </w:rPr>
      </w:pPr>
    </w:p>
    <w:p w14:paraId="0602C001" w14:textId="77777777" w:rsidR="00447C37" w:rsidRDefault="00447C37" w:rsidP="00B47B9A">
      <w:pPr>
        <w:jc w:val="both"/>
        <w:rPr>
          <w:rFonts w:ascii="Calibri" w:hAnsi="Calibri" w:cs="Calibri"/>
          <w:bCs/>
          <w:lang w:val="en-AU"/>
        </w:rPr>
      </w:pPr>
    </w:p>
    <w:p w14:paraId="5891AC48" w14:textId="77777777" w:rsidR="00447C37" w:rsidRDefault="00447C37" w:rsidP="00B47B9A">
      <w:pPr>
        <w:jc w:val="both"/>
        <w:rPr>
          <w:rFonts w:ascii="Calibri" w:hAnsi="Calibri" w:cs="Calibri"/>
          <w:bCs/>
          <w:lang w:val="en-AU"/>
        </w:rPr>
      </w:pPr>
    </w:p>
    <w:p w14:paraId="62F201CB" w14:textId="77777777" w:rsidR="00447C37" w:rsidRDefault="00447C37" w:rsidP="00B47B9A">
      <w:pPr>
        <w:jc w:val="both"/>
        <w:rPr>
          <w:rFonts w:ascii="Calibri" w:hAnsi="Calibri" w:cs="Calibri"/>
          <w:bCs/>
          <w:lang w:val="en-AU"/>
        </w:rPr>
      </w:pPr>
    </w:p>
    <w:p w14:paraId="02C1A4AC" w14:textId="77777777" w:rsidR="00447C37" w:rsidRDefault="00447C37" w:rsidP="00B47B9A">
      <w:pPr>
        <w:jc w:val="both"/>
        <w:rPr>
          <w:rFonts w:ascii="Calibri" w:hAnsi="Calibri" w:cs="Calibri"/>
          <w:bCs/>
          <w:lang w:val="en-AU"/>
        </w:rPr>
      </w:pPr>
    </w:p>
    <w:p w14:paraId="2B369CEC" w14:textId="77777777" w:rsidR="00447C37" w:rsidRDefault="00447C37" w:rsidP="00B47B9A">
      <w:pPr>
        <w:jc w:val="both"/>
        <w:rPr>
          <w:rFonts w:ascii="Calibri" w:hAnsi="Calibri" w:cs="Calibri"/>
          <w:bCs/>
          <w:lang w:val="en-AU"/>
        </w:rPr>
      </w:pPr>
    </w:p>
    <w:p w14:paraId="43201B24" w14:textId="77777777" w:rsidR="00447C37" w:rsidRDefault="00447C37" w:rsidP="00B47B9A">
      <w:pPr>
        <w:jc w:val="both"/>
        <w:rPr>
          <w:rFonts w:ascii="Calibri" w:hAnsi="Calibri" w:cs="Calibri"/>
          <w:bCs/>
          <w:lang w:val="en-AU"/>
        </w:rPr>
      </w:pPr>
    </w:p>
    <w:p w14:paraId="31C731F4" w14:textId="77777777" w:rsidR="00447C37" w:rsidRDefault="00447C37" w:rsidP="00B47B9A">
      <w:pPr>
        <w:jc w:val="both"/>
        <w:rPr>
          <w:rFonts w:ascii="Calibri" w:hAnsi="Calibri" w:cs="Calibri"/>
          <w:bCs/>
          <w:lang w:val="en-AU"/>
        </w:rPr>
      </w:pPr>
    </w:p>
    <w:p w14:paraId="00C99041" w14:textId="77777777" w:rsidR="00447C37" w:rsidRDefault="00447C37" w:rsidP="00B47B9A">
      <w:pPr>
        <w:jc w:val="both"/>
        <w:rPr>
          <w:rFonts w:ascii="Calibri" w:hAnsi="Calibri" w:cs="Calibri"/>
          <w:bCs/>
          <w:lang w:val="en-AU"/>
        </w:rPr>
      </w:pPr>
    </w:p>
    <w:p w14:paraId="241F4613" w14:textId="77777777" w:rsidR="00447C37" w:rsidRDefault="00447C37" w:rsidP="00B47B9A">
      <w:pPr>
        <w:jc w:val="both"/>
        <w:rPr>
          <w:rFonts w:ascii="Calibri" w:hAnsi="Calibri" w:cs="Calibri"/>
          <w:bCs/>
          <w:lang w:val="en-AU"/>
        </w:rPr>
      </w:pPr>
    </w:p>
    <w:p w14:paraId="3A88590C" w14:textId="77777777" w:rsidR="00447C37" w:rsidRDefault="00447C37" w:rsidP="00B47B9A">
      <w:pPr>
        <w:jc w:val="both"/>
        <w:rPr>
          <w:rFonts w:ascii="Calibri" w:hAnsi="Calibri" w:cs="Calibri"/>
          <w:bCs/>
          <w:lang w:val="en-AU"/>
        </w:rPr>
      </w:pPr>
    </w:p>
    <w:p w14:paraId="109C3CBB" w14:textId="61CCCC72" w:rsidR="00DA4D8A" w:rsidRDefault="005F19FF" w:rsidP="001978A7">
      <w:pPr>
        <w:spacing w:before="120"/>
        <w:jc w:val="both"/>
        <w:rPr>
          <w:rFonts w:ascii="Calibri" w:hAnsi="Calibri" w:cs="Calibri"/>
          <w:bCs/>
          <w:sz w:val="22"/>
          <w:szCs w:val="22"/>
          <w:lang w:val="en-AU"/>
        </w:rPr>
      </w:pPr>
      <w:r w:rsidRPr="00447C37">
        <w:rPr>
          <w:rFonts w:ascii="Calibri" w:hAnsi="Calibri" w:cs="Calibri"/>
          <w:bCs/>
          <w:sz w:val="22"/>
          <w:szCs w:val="22"/>
          <w:lang w:val="en-AU"/>
        </w:rPr>
        <w:t>References</w:t>
      </w:r>
    </w:p>
    <w:p w14:paraId="08CC1419" w14:textId="591D0BF7" w:rsidR="00F81B5A" w:rsidRDefault="00F81B5A" w:rsidP="00F81B5A">
      <w:pPr>
        <w:jc w:val="both"/>
        <w:rPr>
          <w:rFonts w:ascii="Calibri" w:hAnsi="Calibri" w:cs="Calibri"/>
          <w:bCs/>
          <w:sz w:val="22"/>
          <w:szCs w:val="22"/>
          <w:lang w:val="en-AU"/>
        </w:rPr>
      </w:pPr>
      <w:r>
        <w:rPr>
          <w:rFonts w:ascii="Calibri" w:hAnsi="Calibri" w:cs="Calibri"/>
          <w:bCs/>
          <w:sz w:val="22"/>
          <w:szCs w:val="22"/>
          <w:lang w:val="en-AU"/>
        </w:rPr>
        <w:t xml:space="preserve">[1] Wilson, </w:t>
      </w:r>
      <w:r>
        <w:rPr>
          <w:rFonts w:ascii="Calibri" w:hAnsi="Calibri" w:cs="Calibri"/>
          <w:bCs/>
          <w:i/>
          <w:iCs/>
          <w:sz w:val="22"/>
          <w:szCs w:val="22"/>
          <w:lang w:val="en-AU"/>
        </w:rPr>
        <w:t>et al</w:t>
      </w:r>
      <w:r>
        <w:rPr>
          <w:rFonts w:ascii="Calibri" w:hAnsi="Calibri" w:cs="Calibri"/>
          <w:bCs/>
          <w:sz w:val="22"/>
          <w:szCs w:val="22"/>
          <w:lang w:val="en-AU"/>
        </w:rPr>
        <w:t xml:space="preserve">. (2019). Nanotechnology </w:t>
      </w:r>
      <w:r>
        <w:rPr>
          <w:rFonts w:ascii="Calibri" w:hAnsi="Calibri" w:cs="Calibri"/>
          <w:b/>
          <w:sz w:val="22"/>
          <w:szCs w:val="22"/>
          <w:lang w:val="en-AU"/>
        </w:rPr>
        <w:t>30</w:t>
      </w:r>
      <w:r>
        <w:rPr>
          <w:rFonts w:ascii="Calibri" w:hAnsi="Calibri" w:cs="Calibri"/>
          <w:bCs/>
          <w:sz w:val="22"/>
          <w:szCs w:val="22"/>
          <w:lang w:val="en-AU"/>
        </w:rPr>
        <w:t>, 385704, doi:10.1088/1361/a283d</w:t>
      </w:r>
    </w:p>
    <w:p w14:paraId="19A0A76F" w14:textId="31D429B8" w:rsidR="00F97620" w:rsidRPr="00447C37" w:rsidRDefault="00625B56" w:rsidP="00447C37">
      <w:pPr>
        <w:jc w:val="both"/>
        <w:rPr>
          <w:rFonts w:ascii="Calibri" w:hAnsi="Calibri" w:cs="Calibri"/>
          <w:bCs/>
          <w:sz w:val="22"/>
          <w:szCs w:val="22"/>
          <w:lang w:val="en-AU"/>
        </w:rPr>
      </w:pPr>
      <w:r>
        <w:rPr>
          <w:rFonts w:ascii="Calibri" w:hAnsi="Calibri" w:cs="Calibri"/>
          <w:bCs/>
          <w:sz w:val="22"/>
          <w:szCs w:val="22"/>
          <w:lang w:val="en-AU"/>
        </w:rPr>
        <w:t xml:space="preserve">[2] Chan, </w:t>
      </w:r>
      <w:r>
        <w:rPr>
          <w:rFonts w:ascii="Calibri" w:hAnsi="Calibri" w:cs="Calibri"/>
          <w:bCs/>
          <w:i/>
          <w:iCs/>
          <w:sz w:val="22"/>
          <w:szCs w:val="22"/>
          <w:lang w:val="en-AU"/>
        </w:rPr>
        <w:t>et al.</w:t>
      </w:r>
      <w:r>
        <w:rPr>
          <w:rFonts w:ascii="Calibri" w:hAnsi="Calibri" w:cs="Calibri"/>
          <w:bCs/>
          <w:sz w:val="22"/>
          <w:szCs w:val="22"/>
          <w:lang w:val="en-AU"/>
        </w:rPr>
        <w:t xml:space="preserve"> (2016). Nature </w:t>
      </w:r>
      <w:r w:rsidR="00703B3E">
        <w:rPr>
          <w:rFonts w:ascii="Calibri" w:hAnsi="Calibri" w:cs="Calibri"/>
          <w:bCs/>
          <w:sz w:val="22"/>
          <w:szCs w:val="22"/>
          <w:lang w:val="en-AU"/>
        </w:rPr>
        <w:t xml:space="preserve">Nanotechnology </w:t>
      </w:r>
      <w:r w:rsidR="00703B3E">
        <w:rPr>
          <w:rFonts w:ascii="Calibri" w:hAnsi="Calibri" w:cs="Calibri"/>
          <w:b/>
          <w:sz w:val="22"/>
          <w:szCs w:val="22"/>
          <w:lang w:val="en-AU"/>
        </w:rPr>
        <w:t>3</w:t>
      </w:r>
      <w:r w:rsidR="00703B3E">
        <w:rPr>
          <w:rFonts w:ascii="Calibri" w:hAnsi="Calibri" w:cs="Calibri"/>
          <w:bCs/>
          <w:sz w:val="22"/>
          <w:szCs w:val="22"/>
          <w:lang w:val="en-AU"/>
        </w:rPr>
        <w:t>, 145, doi:10.1038/nnano.2008.30</w:t>
      </w:r>
    </w:p>
    <w:sectPr w:rsidR="00F97620" w:rsidRPr="00447C37"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0e2zfwm0zr03ewv2nxppwg22x2dvz0e2sw&quot;&gt;20170608 PhD EN backup&lt;record-ids&gt;&lt;item&gt;276&lt;/item&gt;&lt;item&gt;346&lt;/item&gt;&lt;item&gt;347&lt;/item&gt;&lt;/record-ids&gt;&lt;/item&gt;&lt;/Libraries&gt;"/>
  </w:docVars>
  <w:rsids>
    <w:rsidRoot w:val="002226BB"/>
    <w:rsid w:val="00033994"/>
    <w:rsid w:val="0004118E"/>
    <w:rsid w:val="00045573"/>
    <w:rsid w:val="000C3529"/>
    <w:rsid w:val="000D71D7"/>
    <w:rsid w:val="0011154F"/>
    <w:rsid w:val="001978A7"/>
    <w:rsid w:val="001A21AD"/>
    <w:rsid w:val="002078AD"/>
    <w:rsid w:val="002226BB"/>
    <w:rsid w:val="00225236"/>
    <w:rsid w:val="002272B0"/>
    <w:rsid w:val="00263CCD"/>
    <w:rsid w:val="00300B92"/>
    <w:rsid w:val="0030585E"/>
    <w:rsid w:val="00387491"/>
    <w:rsid w:val="0044484F"/>
    <w:rsid w:val="00447C37"/>
    <w:rsid w:val="00483B05"/>
    <w:rsid w:val="004D3BB7"/>
    <w:rsid w:val="004E28B9"/>
    <w:rsid w:val="004E5450"/>
    <w:rsid w:val="004E7E48"/>
    <w:rsid w:val="0055229D"/>
    <w:rsid w:val="00556762"/>
    <w:rsid w:val="00562D19"/>
    <w:rsid w:val="0059609A"/>
    <w:rsid w:val="00597659"/>
    <w:rsid w:val="005A1C31"/>
    <w:rsid w:val="005B30B0"/>
    <w:rsid w:val="005E48A2"/>
    <w:rsid w:val="005F19FF"/>
    <w:rsid w:val="00623A42"/>
    <w:rsid w:val="00625B56"/>
    <w:rsid w:val="00641190"/>
    <w:rsid w:val="00651EF7"/>
    <w:rsid w:val="006B3866"/>
    <w:rsid w:val="006E52A4"/>
    <w:rsid w:val="00703B3E"/>
    <w:rsid w:val="00711813"/>
    <w:rsid w:val="00724E3C"/>
    <w:rsid w:val="00743C46"/>
    <w:rsid w:val="00780991"/>
    <w:rsid w:val="008909C9"/>
    <w:rsid w:val="008B29AB"/>
    <w:rsid w:val="008D2D6F"/>
    <w:rsid w:val="008E17B4"/>
    <w:rsid w:val="00914D0A"/>
    <w:rsid w:val="00947B77"/>
    <w:rsid w:val="009B2641"/>
    <w:rsid w:val="009D5316"/>
    <w:rsid w:val="009E2228"/>
    <w:rsid w:val="009F06D6"/>
    <w:rsid w:val="00A105C1"/>
    <w:rsid w:val="00A266B4"/>
    <w:rsid w:val="00A85C14"/>
    <w:rsid w:val="00AF4962"/>
    <w:rsid w:val="00B053DA"/>
    <w:rsid w:val="00B47B9A"/>
    <w:rsid w:val="00BB1D69"/>
    <w:rsid w:val="00BC5FCC"/>
    <w:rsid w:val="00C001F3"/>
    <w:rsid w:val="00C60A71"/>
    <w:rsid w:val="00CA2993"/>
    <w:rsid w:val="00CB24DC"/>
    <w:rsid w:val="00CC165A"/>
    <w:rsid w:val="00D04C43"/>
    <w:rsid w:val="00D45675"/>
    <w:rsid w:val="00D55F3B"/>
    <w:rsid w:val="00D8780A"/>
    <w:rsid w:val="00D917C6"/>
    <w:rsid w:val="00DA2731"/>
    <w:rsid w:val="00DA4D8A"/>
    <w:rsid w:val="00DC0ABB"/>
    <w:rsid w:val="00DE3FD4"/>
    <w:rsid w:val="00DF1C8E"/>
    <w:rsid w:val="00E20606"/>
    <w:rsid w:val="00ED6E46"/>
    <w:rsid w:val="00EE0E8B"/>
    <w:rsid w:val="00EF12F3"/>
    <w:rsid w:val="00F11DE2"/>
    <w:rsid w:val="00F26BBE"/>
    <w:rsid w:val="00F578E9"/>
    <w:rsid w:val="00F81B5A"/>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unhideWhenUsed/>
    <w:rsid w:val="001A21AD"/>
    <w:rPr>
      <w:sz w:val="20"/>
      <w:szCs w:val="20"/>
    </w:rPr>
  </w:style>
  <w:style w:type="character" w:customStyle="1" w:styleId="CommentTextChar">
    <w:name w:val="Comment Text Char"/>
    <w:basedOn w:val="DefaultParagraphFont"/>
    <w:link w:val="CommentText"/>
    <w:uiPriority w:val="99"/>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Title">
    <w:name w:val="Title"/>
    <w:basedOn w:val="Normal"/>
    <w:next w:val="Normal"/>
    <w:link w:val="TitleChar"/>
    <w:uiPriority w:val="10"/>
    <w:qFormat/>
    <w:rsid w:val="00B47B9A"/>
    <w:pPr>
      <w:jc w:val="center"/>
    </w:pPr>
    <w:rPr>
      <w:rFonts w:asciiTheme="minorHAnsi" w:eastAsiaTheme="minorHAnsi" w:hAnsiTheme="minorHAnsi" w:cstheme="minorBidi"/>
      <w:b/>
      <w:bCs/>
      <w:sz w:val="28"/>
      <w:szCs w:val="28"/>
    </w:rPr>
  </w:style>
  <w:style w:type="character" w:customStyle="1" w:styleId="TitleChar">
    <w:name w:val="Title Char"/>
    <w:basedOn w:val="DefaultParagraphFont"/>
    <w:link w:val="Title"/>
    <w:uiPriority w:val="10"/>
    <w:rsid w:val="00B47B9A"/>
    <w:rPr>
      <w:rFonts w:asciiTheme="minorHAnsi" w:eastAsiaTheme="minorHAnsi" w:hAnsiTheme="minorHAnsi" w:cstheme="minorBidi"/>
      <w:b/>
      <w:bCs/>
      <w:sz w:val="28"/>
      <w:szCs w:val="28"/>
      <w:lang w:val="en-US"/>
    </w:rPr>
  </w:style>
  <w:style w:type="paragraph" w:styleId="Footer">
    <w:name w:val="footer"/>
    <w:basedOn w:val="Normal"/>
    <w:link w:val="FooterChar"/>
    <w:uiPriority w:val="99"/>
    <w:unhideWhenUsed/>
    <w:rsid w:val="00B47B9A"/>
    <w:pPr>
      <w:tabs>
        <w:tab w:val="center" w:pos="4680"/>
        <w:tab w:val="right" w:pos="9360"/>
      </w:tabs>
      <w:jc w:val="both"/>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7B9A"/>
    <w:rPr>
      <w:rFonts w:asciiTheme="minorHAnsi" w:eastAsiaTheme="minorHAnsi" w:hAnsiTheme="minorHAnsi" w:cstheme="minorBidi"/>
      <w:sz w:val="22"/>
      <w:szCs w:val="22"/>
      <w:lang w:val="en-US"/>
    </w:rPr>
  </w:style>
  <w:style w:type="paragraph" w:customStyle="1" w:styleId="IOPAff">
    <w:name w:val="IOPAff"/>
    <w:basedOn w:val="Normal"/>
    <w:link w:val="IOPAffChar"/>
    <w:qFormat/>
    <w:rsid w:val="00B47B9A"/>
    <w:pPr>
      <w:spacing w:line="259" w:lineRule="auto"/>
      <w:ind w:right="2552"/>
    </w:pPr>
    <w:rPr>
      <w:rFonts w:eastAsiaTheme="minorHAnsi"/>
      <w:sz w:val="18"/>
      <w:szCs w:val="18"/>
    </w:rPr>
  </w:style>
  <w:style w:type="character" w:customStyle="1" w:styleId="IOPAffChar">
    <w:name w:val="IOPAff Char"/>
    <w:basedOn w:val="DefaultParagraphFont"/>
    <w:link w:val="IOPAff"/>
    <w:rsid w:val="00B47B9A"/>
    <w:rPr>
      <w:rFonts w:eastAsiaTheme="minorHAnsi"/>
      <w:sz w:val="18"/>
      <w:szCs w:val="18"/>
      <w:lang w:val="en-US"/>
    </w:rPr>
  </w:style>
  <w:style w:type="table" w:styleId="TableGrid">
    <w:name w:val="Table Grid"/>
    <w:basedOn w:val="TableNormal"/>
    <w:uiPriority w:val="59"/>
    <w:rsid w:val="00651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A4D8A"/>
    <w:pPr>
      <w:jc w:val="center"/>
    </w:pPr>
  </w:style>
  <w:style w:type="character" w:customStyle="1" w:styleId="EndNoteBibliographyTitleChar">
    <w:name w:val="EndNote Bibliography Title Char"/>
    <w:basedOn w:val="DefaultParagraphFont"/>
    <w:link w:val="EndNoteBibliographyTitle"/>
    <w:rsid w:val="00DA4D8A"/>
    <w:rPr>
      <w:sz w:val="24"/>
      <w:szCs w:val="24"/>
      <w:lang w:val="en-US"/>
    </w:rPr>
  </w:style>
  <w:style w:type="paragraph" w:customStyle="1" w:styleId="EndNoteBibliography">
    <w:name w:val="EndNote Bibliography"/>
    <w:basedOn w:val="Normal"/>
    <w:link w:val="EndNoteBibliographyChar"/>
    <w:rsid w:val="00DA4D8A"/>
    <w:pPr>
      <w:jc w:val="both"/>
    </w:pPr>
  </w:style>
  <w:style w:type="character" w:customStyle="1" w:styleId="EndNoteBibliographyChar">
    <w:name w:val="EndNote Bibliography Char"/>
    <w:basedOn w:val="DefaultParagraphFont"/>
    <w:link w:val="EndNoteBibliography"/>
    <w:rsid w:val="00DA4D8A"/>
    <w:rPr>
      <w:sz w:val="24"/>
      <w:szCs w:val="24"/>
      <w:lang w:val="en-US"/>
    </w:rPr>
  </w:style>
  <w:style w:type="paragraph" w:styleId="Revision">
    <w:name w:val="Revision"/>
    <w:hidden/>
    <w:uiPriority w:val="99"/>
    <w:semiHidden/>
    <w:rsid w:val="00F578E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1959070563">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3188</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Emma Wilson</cp:lastModifiedBy>
  <cp:revision>4</cp:revision>
  <cp:lastPrinted>2019-09-02T01:39:00Z</cp:lastPrinted>
  <dcterms:created xsi:type="dcterms:W3CDTF">2019-09-01T23:50:00Z</dcterms:created>
  <dcterms:modified xsi:type="dcterms:W3CDTF">2019-09-02T01:42:00Z</dcterms:modified>
</cp:coreProperties>
</file>