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09AD" w14:textId="6E36D613" w:rsidR="0044406F" w:rsidRPr="0044406F" w:rsidRDefault="0044406F" w:rsidP="0044406F">
      <w:pPr>
        <w:pStyle w:val="p1"/>
        <w:spacing w:before="0" w:beforeAutospacing="0" w:after="0" w:afterAutospacing="0"/>
        <w:rPr>
          <w:rFonts w:ascii="Calibri" w:hAnsi="Calibri" w:cs="Calibri"/>
          <w:b/>
          <w:bCs/>
          <w:sz w:val="20"/>
          <w:szCs w:val="20"/>
        </w:rPr>
      </w:pPr>
      <w:r w:rsidRPr="0044406F">
        <w:rPr>
          <w:rFonts w:ascii="Calibri" w:hAnsi="Calibri" w:cs="Calibri"/>
          <w:b/>
          <w:bCs/>
          <w:sz w:val="20"/>
          <w:szCs w:val="20"/>
        </w:rPr>
        <w:t xml:space="preserve">Rationality of </w:t>
      </w:r>
      <w:r>
        <w:rPr>
          <w:rFonts w:ascii="Calibri" w:hAnsi="Calibri" w:cs="Calibri"/>
          <w:b/>
          <w:bCs/>
          <w:sz w:val="20"/>
          <w:szCs w:val="20"/>
        </w:rPr>
        <w:t>A</w:t>
      </w:r>
      <w:r w:rsidRPr="0044406F">
        <w:rPr>
          <w:rFonts w:ascii="Calibri" w:hAnsi="Calibri" w:cs="Calibri"/>
          <w:b/>
          <w:bCs/>
          <w:sz w:val="20"/>
          <w:szCs w:val="20"/>
        </w:rPr>
        <w:t xml:space="preserve">ntimicrobial </w:t>
      </w:r>
      <w:r>
        <w:rPr>
          <w:rFonts w:ascii="Calibri" w:hAnsi="Calibri" w:cs="Calibri"/>
          <w:b/>
          <w:bCs/>
          <w:sz w:val="20"/>
          <w:szCs w:val="20"/>
        </w:rPr>
        <w:t>P</w:t>
      </w:r>
      <w:r w:rsidRPr="0044406F">
        <w:rPr>
          <w:rFonts w:ascii="Calibri" w:hAnsi="Calibri" w:cs="Calibri"/>
          <w:b/>
          <w:bCs/>
          <w:sz w:val="20"/>
          <w:szCs w:val="20"/>
        </w:rPr>
        <w:t xml:space="preserve">rescribing in </w:t>
      </w:r>
      <w:r>
        <w:rPr>
          <w:rFonts w:ascii="Calibri" w:hAnsi="Calibri" w:cs="Calibri"/>
          <w:b/>
          <w:bCs/>
          <w:sz w:val="20"/>
          <w:szCs w:val="20"/>
        </w:rPr>
        <w:t>O</w:t>
      </w:r>
      <w:r w:rsidRPr="0044406F">
        <w:rPr>
          <w:rFonts w:ascii="Calibri" w:hAnsi="Calibri" w:cs="Calibri"/>
          <w:b/>
          <w:bCs/>
          <w:sz w:val="20"/>
          <w:szCs w:val="20"/>
        </w:rPr>
        <w:t xml:space="preserve">bstetrics and </w:t>
      </w:r>
      <w:r>
        <w:rPr>
          <w:rFonts w:ascii="Calibri" w:hAnsi="Calibri" w:cs="Calibri"/>
          <w:b/>
          <w:bCs/>
          <w:sz w:val="20"/>
          <w:szCs w:val="20"/>
        </w:rPr>
        <w:t>G</w:t>
      </w:r>
      <w:r w:rsidRPr="0044406F">
        <w:rPr>
          <w:rFonts w:ascii="Calibri" w:hAnsi="Calibri" w:cs="Calibri"/>
          <w:b/>
          <w:bCs/>
          <w:sz w:val="20"/>
          <w:szCs w:val="20"/>
        </w:rPr>
        <w:t xml:space="preserve">ynaecology </w:t>
      </w:r>
      <w:r>
        <w:rPr>
          <w:rFonts w:ascii="Calibri" w:hAnsi="Calibri" w:cs="Calibri"/>
          <w:b/>
          <w:bCs/>
          <w:sz w:val="20"/>
          <w:szCs w:val="20"/>
        </w:rPr>
        <w:t>I</w:t>
      </w:r>
      <w:r w:rsidRPr="0044406F">
        <w:rPr>
          <w:rFonts w:ascii="Calibri" w:hAnsi="Calibri" w:cs="Calibri"/>
          <w:b/>
          <w:bCs/>
          <w:sz w:val="20"/>
          <w:szCs w:val="20"/>
        </w:rPr>
        <w:t>npatients</w:t>
      </w:r>
    </w:p>
    <w:p w14:paraId="104CFB76" w14:textId="776C1EE8" w:rsidR="00711813" w:rsidRPr="0044406F" w:rsidRDefault="001A699C" w:rsidP="0044406F">
      <w:pPr>
        <w:pStyle w:val="p1"/>
        <w:spacing w:before="0" w:beforeAutospacing="0"/>
        <w:rPr>
          <w:rFonts w:ascii="Calibri" w:hAnsi="Calibri" w:cs="Calibri"/>
          <w:sz w:val="20"/>
          <w:szCs w:val="20"/>
        </w:rPr>
      </w:pPr>
      <w:r>
        <w:rPr>
          <w:rFonts w:ascii="Calibri" w:hAnsi="Calibri" w:cs="Calibri"/>
          <w:sz w:val="20"/>
          <w:szCs w:val="20"/>
        </w:rPr>
        <w:t xml:space="preserve">Dr </w:t>
      </w:r>
      <w:r w:rsidR="0044406F" w:rsidRPr="0044406F">
        <w:rPr>
          <w:rFonts w:ascii="Calibri" w:hAnsi="Calibri" w:cs="Calibri"/>
          <w:sz w:val="20"/>
          <w:szCs w:val="20"/>
        </w:rPr>
        <w:t xml:space="preserve">Shrutika Kumawat¹, </w:t>
      </w:r>
      <w:r>
        <w:rPr>
          <w:rFonts w:ascii="Calibri" w:hAnsi="Calibri" w:cs="Calibri"/>
          <w:sz w:val="20"/>
          <w:szCs w:val="20"/>
        </w:rPr>
        <w:t xml:space="preserve">Dr </w:t>
      </w:r>
      <w:r w:rsidR="0044406F" w:rsidRPr="0044406F">
        <w:rPr>
          <w:rFonts w:ascii="Calibri" w:hAnsi="Calibri" w:cs="Calibri"/>
          <w:sz w:val="20"/>
          <w:szCs w:val="20"/>
        </w:rPr>
        <w:t>Sujata Dudhgaonkar¹,</w:t>
      </w:r>
      <w:r>
        <w:rPr>
          <w:rFonts w:ascii="Calibri" w:hAnsi="Calibri" w:cs="Calibri"/>
          <w:sz w:val="20"/>
          <w:szCs w:val="20"/>
        </w:rPr>
        <w:t>Dr</w:t>
      </w:r>
      <w:r w:rsidR="0044406F" w:rsidRPr="0044406F">
        <w:rPr>
          <w:rFonts w:ascii="Calibri" w:hAnsi="Calibri" w:cs="Calibri"/>
          <w:sz w:val="20"/>
          <w:szCs w:val="20"/>
        </w:rPr>
        <w:t xml:space="preserve"> Pravin Uike¹, Dept of </w:t>
      </w:r>
      <w:proofErr w:type="spellStart"/>
      <w:r w:rsidR="0044406F" w:rsidRPr="0044406F">
        <w:rPr>
          <w:rFonts w:ascii="Calibri" w:hAnsi="Calibri" w:cs="Calibri"/>
          <w:sz w:val="20"/>
          <w:szCs w:val="20"/>
        </w:rPr>
        <w:t>Pharmacol</w:t>
      </w:r>
      <w:proofErr w:type="spellEnd"/>
      <w:r w:rsidR="0044406F" w:rsidRPr="0044406F">
        <w:rPr>
          <w:rFonts w:ascii="Calibri" w:hAnsi="Calibri" w:cs="Calibri"/>
          <w:sz w:val="20"/>
          <w:szCs w:val="20"/>
        </w:rPr>
        <w:t xml:space="preserve">, Govt Medical College¹, </w:t>
      </w:r>
      <w:r>
        <w:rPr>
          <w:rFonts w:ascii="Calibri" w:hAnsi="Calibri" w:cs="Calibri"/>
          <w:sz w:val="20"/>
          <w:szCs w:val="20"/>
        </w:rPr>
        <w:t>Gondia</w:t>
      </w:r>
      <w:r w:rsidR="0044406F" w:rsidRPr="0044406F">
        <w:rPr>
          <w:rFonts w:ascii="Calibri" w:hAnsi="Calibri" w:cs="Calibri"/>
          <w:sz w:val="20"/>
          <w:szCs w:val="20"/>
        </w:rPr>
        <w:t>, Maharashtra, India</w:t>
      </w:r>
      <w:r>
        <w:rPr>
          <w:rFonts w:ascii="Calibri" w:hAnsi="Calibri" w:cs="Calibri"/>
          <w:sz w:val="20"/>
          <w:szCs w:val="20"/>
          <w:lang w:val="en-AU"/>
        </w:rPr>
        <w:t>.</w:t>
      </w:r>
    </w:p>
    <w:p w14:paraId="3679AA54" w14:textId="77777777" w:rsidR="0032659A" w:rsidRDefault="00711813" w:rsidP="009350C9">
      <w:pPr>
        <w:pStyle w:val="p1"/>
        <w:spacing w:before="0" w:beforeAutospacing="0" w:after="0" w:afterAutospacing="0"/>
      </w:pPr>
      <w:r w:rsidRPr="000C6AC8">
        <w:rPr>
          <w:rFonts w:ascii="Calibri" w:hAnsi="Calibri" w:cs="Calibri"/>
          <w:b/>
          <w:bCs/>
          <w:sz w:val="20"/>
          <w:szCs w:val="20"/>
          <w:lang w:val="en-AU"/>
        </w:rPr>
        <w:t>Introduction.</w:t>
      </w:r>
      <w:r w:rsidRPr="000C6AC8">
        <w:rPr>
          <w:rFonts w:ascii="Calibri" w:hAnsi="Calibri" w:cs="Calibri"/>
          <w:sz w:val="20"/>
          <w:szCs w:val="20"/>
          <w:lang w:val="en-AU"/>
        </w:rPr>
        <w:t xml:space="preserve"> </w:t>
      </w:r>
      <w:r w:rsidR="0032659A" w:rsidRPr="0032659A">
        <w:rPr>
          <w:rFonts w:ascii="Calibri" w:hAnsi="Calibri" w:cs="Calibri"/>
          <w:sz w:val="20"/>
          <w:szCs w:val="20"/>
        </w:rPr>
        <w:t>Antimicrobial resistance (AMR) is driven by inappropriate antimicrobial use. Obstetrics and gynaecology (OBGY) inpatients frequently receive empirical and prophylactic therapy, yet data on prescribing rationality in tertiary care settings in Central India are limited.</w:t>
      </w:r>
    </w:p>
    <w:p w14:paraId="1ECE8B73" w14:textId="74883952" w:rsidR="001A699C" w:rsidRPr="000C6AC8" w:rsidRDefault="00711813" w:rsidP="009350C9">
      <w:pPr>
        <w:pStyle w:val="p1"/>
        <w:spacing w:before="0" w:beforeAutospacing="0" w:after="0" w:afterAutospacing="0"/>
        <w:rPr>
          <w:rFonts w:ascii="Calibri" w:hAnsi="Calibri" w:cs="Calibri"/>
          <w:sz w:val="20"/>
          <w:szCs w:val="20"/>
        </w:rPr>
      </w:pPr>
      <w:r w:rsidRPr="000C6AC8">
        <w:rPr>
          <w:rFonts w:ascii="Calibri" w:hAnsi="Calibri" w:cs="Calibri"/>
          <w:b/>
          <w:bCs/>
          <w:sz w:val="20"/>
          <w:szCs w:val="20"/>
          <w:lang w:val="en-AU"/>
        </w:rPr>
        <w:t>Aims</w:t>
      </w:r>
      <w:r w:rsidRPr="000C6AC8">
        <w:rPr>
          <w:rFonts w:ascii="Calibri" w:hAnsi="Calibri" w:cs="Calibri"/>
          <w:sz w:val="20"/>
          <w:szCs w:val="20"/>
          <w:lang w:val="en-AU"/>
        </w:rPr>
        <w:t xml:space="preserve">. </w:t>
      </w:r>
      <w:r w:rsidR="001A699C" w:rsidRPr="000C6AC8">
        <w:rPr>
          <w:rFonts w:ascii="Calibri" w:hAnsi="Calibri" w:cs="Calibri"/>
          <w:sz w:val="20"/>
          <w:szCs w:val="20"/>
        </w:rPr>
        <w:t>To evaluate the rationality of antimicrobial prescribing in OBGY inpatients using World Health Organization (WHO) prescribing indicators.</w:t>
      </w:r>
    </w:p>
    <w:p w14:paraId="3E21BDC1" w14:textId="3C8C4609" w:rsidR="00711813" w:rsidRPr="000C6AC8" w:rsidRDefault="00711813" w:rsidP="001A699C">
      <w:pPr>
        <w:pStyle w:val="p1"/>
        <w:spacing w:before="0" w:beforeAutospacing="0" w:after="0" w:afterAutospacing="0"/>
        <w:rPr>
          <w:sz w:val="20"/>
          <w:szCs w:val="20"/>
        </w:rPr>
      </w:pPr>
      <w:r w:rsidRPr="000C6AC8">
        <w:rPr>
          <w:rFonts w:ascii="Calibri" w:hAnsi="Calibri" w:cs="Calibri"/>
          <w:b/>
          <w:bCs/>
          <w:sz w:val="20"/>
          <w:szCs w:val="20"/>
          <w:lang w:val="en-AU"/>
        </w:rPr>
        <w:t>Methods</w:t>
      </w:r>
      <w:r w:rsidRPr="000C6AC8">
        <w:rPr>
          <w:rFonts w:ascii="Calibri" w:hAnsi="Calibri" w:cs="Calibri"/>
          <w:sz w:val="20"/>
          <w:szCs w:val="20"/>
          <w:lang w:val="en-AU"/>
        </w:rPr>
        <w:t xml:space="preserve">. </w:t>
      </w:r>
      <w:r w:rsidR="001A699C" w:rsidRPr="000C6AC8">
        <w:rPr>
          <w:rFonts w:ascii="Calibri" w:hAnsi="Calibri" w:cs="Calibri"/>
          <w:sz w:val="20"/>
          <w:szCs w:val="20"/>
        </w:rPr>
        <w:t xml:space="preserve">A prospective observational study analysed case records of 140 OBGY inpatients aged 18–45 years receiving antimicrobials during hospital stay (March–August 2024). Pregnant, non-pregnant and breastfeeding women treated for infections or surgical procedures were included; patients with cancer, organ failure or incomplete records were excluded. Prescribing rationality was assessed using WHO </w:t>
      </w:r>
      <w:proofErr w:type="spellStart"/>
      <w:r w:rsidR="001A699C" w:rsidRPr="000C6AC8">
        <w:rPr>
          <w:rFonts w:ascii="Calibri" w:hAnsi="Calibri" w:cs="Calibri"/>
          <w:sz w:val="20"/>
          <w:szCs w:val="20"/>
        </w:rPr>
        <w:t>AWaRe</w:t>
      </w:r>
      <w:proofErr w:type="spellEnd"/>
      <w:r w:rsidR="001A699C" w:rsidRPr="000C6AC8">
        <w:rPr>
          <w:rFonts w:ascii="Calibri" w:hAnsi="Calibri" w:cs="Calibri"/>
          <w:sz w:val="20"/>
          <w:szCs w:val="20"/>
        </w:rPr>
        <w:t xml:space="preserve"> indicators (WHO, 2019)</w:t>
      </w:r>
      <w:r w:rsidR="0030576A">
        <w:rPr>
          <w:rFonts w:ascii="Calibri" w:hAnsi="Calibri" w:cs="Calibri"/>
          <w:sz w:val="20"/>
          <w:szCs w:val="20"/>
          <w:vertAlign w:val="superscript"/>
        </w:rPr>
        <w:t>1</w:t>
      </w:r>
      <w:r w:rsidR="001A699C" w:rsidRPr="000C6AC8">
        <w:rPr>
          <w:rFonts w:ascii="Calibri" w:hAnsi="Calibri" w:cs="Calibri"/>
          <w:sz w:val="20"/>
          <w:szCs w:val="20"/>
        </w:rPr>
        <w:t xml:space="preserve"> and analysed descriptively.</w:t>
      </w:r>
    </w:p>
    <w:p w14:paraId="2F796D61" w14:textId="48F79FC3" w:rsidR="00711813" w:rsidRPr="000C6AC8" w:rsidRDefault="00711813" w:rsidP="001A699C">
      <w:pPr>
        <w:pStyle w:val="p1"/>
        <w:spacing w:before="0" w:beforeAutospacing="0" w:after="0" w:afterAutospacing="0"/>
        <w:rPr>
          <w:sz w:val="20"/>
          <w:szCs w:val="20"/>
        </w:rPr>
      </w:pPr>
      <w:r w:rsidRPr="000C6AC8">
        <w:rPr>
          <w:rFonts w:ascii="Calibri" w:hAnsi="Calibri" w:cs="Calibri"/>
          <w:b/>
          <w:bCs/>
          <w:sz w:val="20"/>
          <w:szCs w:val="20"/>
          <w:lang w:val="en-AU"/>
        </w:rPr>
        <w:t>Results.</w:t>
      </w:r>
      <w:r w:rsidRPr="000C6AC8">
        <w:rPr>
          <w:rFonts w:ascii="Calibri" w:hAnsi="Calibri" w:cs="Calibri"/>
          <w:sz w:val="20"/>
          <w:szCs w:val="20"/>
          <w:lang w:val="en-AU"/>
        </w:rPr>
        <w:t xml:space="preserve"> </w:t>
      </w:r>
      <w:r w:rsidR="001A699C" w:rsidRPr="000C6AC8">
        <w:rPr>
          <w:rFonts w:ascii="Calibri" w:hAnsi="Calibri" w:cs="Calibri"/>
          <w:sz w:val="20"/>
          <w:szCs w:val="20"/>
        </w:rPr>
        <w:t>A total of 230 antimicrobials were prescribed. Major infectious diagnoses were postpartum sepsis (38%), preterm labour (27%), pelvic inflammatory disease (21%) and preeclampsia (13%). Common surgeries included LSCS (34%), hysterectomy (23%), ectopic pregnancy (20%), ovarian cysts (13%) and uterine fibroids (11%). Rational prescribing (correct drug, dose, frequency and duration) was observed in 53% prescriptions. Mean antimicrobials per prescription were 1.7±1.9. Injectable use was 42%, fixed-dose combinations 21% and broad-spectrum antimicrobials 48%. Culture-sensitivity guided therapy occurred in 32% cases and standard treatment guideline/antimicrobial stewardship consultation in 44%. All antimicrobials were from the National Essential Medicines List. Frequently prescribed agents were metronidazole (62%), ceftriaxone (57%), amoxicillin (53%), ciprofloxacin (51%) and azithromycin (38%).</w:t>
      </w:r>
    </w:p>
    <w:p w14:paraId="799AE341" w14:textId="77777777" w:rsidR="001A699C" w:rsidRPr="000C6AC8" w:rsidRDefault="00711813" w:rsidP="000C6AC8">
      <w:pPr>
        <w:pStyle w:val="p1"/>
        <w:spacing w:before="0" w:beforeAutospacing="0" w:after="0" w:afterAutospacing="0"/>
        <w:rPr>
          <w:rFonts w:ascii="Calibri" w:hAnsi="Calibri" w:cs="Calibri"/>
          <w:sz w:val="20"/>
          <w:szCs w:val="20"/>
        </w:rPr>
      </w:pPr>
      <w:r w:rsidRPr="000C6AC8">
        <w:rPr>
          <w:rFonts w:ascii="Calibri" w:hAnsi="Calibri" w:cs="Calibri"/>
          <w:b/>
          <w:bCs/>
          <w:sz w:val="20"/>
          <w:szCs w:val="20"/>
          <w:lang w:val="en-AU"/>
        </w:rPr>
        <w:t>Discussion.</w:t>
      </w:r>
      <w:r w:rsidRPr="000C6AC8">
        <w:rPr>
          <w:rFonts w:ascii="Calibri" w:hAnsi="Calibri" w:cs="Calibri"/>
          <w:sz w:val="20"/>
          <w:szCs w:val="20"/>
          <w:lang w:val="en-AU"/>
        </w:rPr>
        <w:t xml:space="preserve"> </w:t>
      </w:r>
      <w:r w:rsidR="001A699C" w:rsidRPr="000C6AC8">
        <w:rPr>
          <w:rFonts w:ascii="Calibri" w:hAnsi="Calibri" w:cs="Calibri"/>
          <w:sz w:val="20"/>
          <w:szCs w:val="20"/>
        </w:rPr>
        <w:t>Only half of prescriptions met full rationality criteria, indicating gaps in antimicrobial stewardship. Limited microbiological confirmation and high broad-spectrum use highlight opportunities for improving guideline adherence and culture-guided therapy to reduce AMR in OBGY settings.</w:t>
      </w:r>
    </w:p>
    <w:p w14:paraId="465435CC" w14:textId="3DE719EA" w:rsidR="00F97620" w:rsidRPr="006630C6" w:rsidRDefault="000C6AC8" w:rsidP="000C6AC8">
      <w:pPr>
        <w:pStyle w:val="p1"/>
        <w:spacing w:before="0" w:beforeAutospacing="0"/>
        <w:rPr>
          <w:rFonts w:ascii="Calibri" w:hAnsi="Calibri" w:cs="Calibri"/>
          <w:sz w:val="19"/>
          <w:szCs w:val="19"/>
        </w:rPr>
      </w:pPr>
      <w:r w:rsidRPr="000C6AC8">
        <w:rPr>
          <w:rFonts w:ascii="Calibri" w:hAnsi="Calibri" w:cs="Calibri"/>
          <w:b/>
          <w:bCs/>
          <w:sz w:val="20"/>
          <w:szCs w:val="20"/>
        </w:rPr>
        <w:t>Reference.</w:t>
      </w:r>
      <w:r w:rsidRPr="000C6AC8">
        <w:rPr>
          <w:rFonts w:ascii="Calibri" w:hAnsi="Calibri" w:cs="Calibri"/>
          <w:sz w:val="20"/>
          <w:szCs w:val="20"/>
        </w:rPr>
        <w:t xml:space="preserve"> </w:t>
      </w:r>
      <w:r w:rsidR="0030576A">
        <w:rPr>
          <w:rFonts w:ascii="Calibri" w:hAnsi="Calibri" w:cs="Calibri"/>
          <w:sz w:val="20"/>
          <w:szCs w:val="20"/>
        </w:rPr>
        <w:t xml:space="preserve">1. </w:t>
      </w:r>
      <w:r w:rsidR="006630C6" w:rsidRPr="000C6AC8">
        <w:rPr>
          <w:rFonts w:ascii="Calibri" w:hAnsi="Calibri" w:cs="Calibri"/>
          <w:sz w:val="20"/>
          <w:szCs w:val="20"/>
        </w:rPr>
        <w:t xml:space="preserve">World Health Organization (2019) WHO </w:t>
      </w:r>
      <w:proofErr w:type="spellStart"/>
      <w:r w:rsidR="006630C6" w:rsidRPr="000C6AC8">
        <w:rPr>
          <w:rFonts w:ascii="Calibri" w:hAnsi="Calibri" w:cs="Calibri"/>
          <w:sz w:val="20"/>
          <w:szCs w:val="20"/>
        </w:rPr>
        <w:t>AWaRe</w:t>
      </w:r>
      <w:proofErr w:type="spellEnd"/>
      <w:r w:rsidR="006630C6" w:rsidRPr="000C6AC8">
        <w:rPr>
          <w:rFonts w:ascii="Calibri" w:hAnsi="Calibri" w:cs="Calibri"/>
          <w:sz w:val="20"/>
          <w:szCs w:val="20"/>
        </w:rPr>
        <w:t xml:space="preserve"> classification of antibiotics for evaluation and monitoring of use. Geneva: WHO.</w:t>
      </w:r>
    </w:p>
    <w:sectPr w:rsidR="00F97620" w:rsidRPr="006630C6"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A4FA6"/>
    <w:rsid w:val="000C6AC8"/>
    <w:rsid w:val="000D5142"/>
    <w:rsid w:val="00120284"/>
    <w:rsid w:val="001A699C"/>
    <w:rsid w:val="002226BB"/>
    <w:rsid w:val="002272B0"/>
    <w:rsid w:val="00300B92"/>
    <w:rsid w:val="0030576A"/>
    <w:rsid w:val="003238D9"/>
    <w:rsid w:val="0032659A"/>
    <w:rsid w:val="00387491"/>
    <w:rsid w:val="0044406F"/>
    <w:rsid w:val="00444224"/>
    <w:rsid w:val="00483B05"/>
    <w:rsid w:val="004E28B9"/>
    <w:rsid w:val="004E50FC"/>
    <w:rsid w:val="004E5450"/>
    <w:rsid w:val="0059609A"/>
    <w:rsid w:val="00597659"/>
    <w:rsid w:val="005D1700"/>
    <w:rsid w:val="005E48A2"/>
    <w:rsid w:val="005E62BE"/>
    <w:rsid w:val="006630C6"/>
    <w:rsid w:val="00711813"/>
    <w:rsid w:val="00724E3C"/>
    <w:rsid w:val="00743C46"/>
    <w:rsid w:val="00760B17"/>
    <w:rsid w:val="00885303"/>
    <w:rsid w:val="008909C9"/>
    <w:rsid w:val="009350C9"/>
    <w:rsid w:val="00947B77"/>
    <w:rsid w:val="009E2228"/>
    <w:rsid w:val="009F06D6"/>
    <w:rsid w:val="00A266B4"/>
    <w:rsid w:val="00A71DEF"/>
    <w:rsid w:val="00AE2DA6"/>
    <w:rsid w:val="00BC5FCC"/>
    <w:rsid w:val="00C132EC"/>
    <w:rsid w:val="00C60A71"/>
    <w:rsid w:val="00D55F3B"/>
    <w:rsid w:val="00DA2731"/>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19198"/>
  <w15:chartTrackingRefBased/>
  <w15:docId w15:val="{96B078C8-553F-0A46-AFAE-1C2F1E7A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customStyle="1" w:styleId="p1">
    <w:name w:val="p1"/>
    <w:basedOn w:val="Normal"/>
    <w:rsid w:val="0044406F"/>
    <w:pPr>
      <w:spacing w:before="100" w:beforeAutospacing="1" w:after="100" w:afterAutospacing="1"/>
    </w:pPr>
    <w:rPr>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2440</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Shrutika Kumawat</cp:lastModifiedBy>
  <cp:revision>7</cp:revision>
  <cp:lastPrinted>2013-06-13T09:45:00Z</cp:lastPrinted>
  <dcterms:created xsi:type="dcterms:W3CDTF">2026-02-08T08:09:00Z</dcterms:created>
  <dcterms:modified xsi:type="dcterms:W3CDTF">2026-02-08T08:33:00Z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