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1B403" w14:textId="1A0320A1" w:rsidR="00641F66" w:rsidRPr="007A5C4E" w:rsidRDefault="00641F66" w:rsidP="00641F66">
      <w:pPr>
        <w:rPr>
          <w:rFonts w:asciiTheme="minorHAnsi" w:hAnsiTheme="minorHAnsi" w:cstheme="minorBidi"/>
          <w:b/>
          <w:bCs/>
          <w:sz w:val="22"/>
          <w:szCs w:val="22"/>
          <w:lang w:val="en-US"/>
        </w:rPr>
      </w:pPr>
      <w:r w:rsidRPr="007A5C4E">
        <w:rPr>
          <w:rFonts w:asciiTheme="minorHAnsi" w:hAnsiTheme="minorHAnsi" w:cstheme="minorBidi"/>
          <w:b/>
          <w:bCs/>
          <w:sz w:val="22"/>
          <w:szCs w:val="22"/>
          <w:lang w:val="en-US"/>
        </w:rPr>
        <w:t>Fifty years of pharmacology, and sports science</w:t>
      </w:r>
      <w:r w:rsidR="00417D85">
        <w:rPr>
          <w:rFonts w:asciiTheme="minorHAnsi" w:hAnsiTheme="minorHAnsi" w:cstheme="minorBidi"/>
          <w:b/>
          <w:bCs/>
          <w:sz w:val="22"/>
          <w:szCs w:val="22"/>
          <w:lang w:val="en-US"/>
        </w:rPr>
        <w:t>:</w:t>
      </w:r>
      <w:r w:rsidRPr="007A5C4E">
        <w:rPr>
          <w:rFonts w:asciiTheme="minorHAnsi" w:hAnsiTheme="minorHAnsi" w:cstheme="minorBidi"/>
          <w:b/>
          <w:bCs/>
          <w:sz w:val="22"/>
          <w:szCs w:val="22"/>
          <w:lang w:val="en-US"/>
        </w:rPr>
        <w:t xml:space="preserve"> leading to hope for amyotrophic lateral sclerosis (ALS)?'</w:t>
      </w:r>
    </w:p>
    <w:p w14:paraId="16238D1E" w14:textId="5B699373" w:rsidR="00641F66" w:rsidRDefault="00641F66" w:rsidP="00641F66">
      <w:pPr>
        <w:rPr>
          <w:rFonts w:asciiTheme="minorHAnsi" w:hAnsiTheme="minorHAnsi" w:cstheme="minorBidi"/>
          <w:sz w:val="22"/>
          <w:szCs w:val="22"/>
          <w:lang w:val="en-US"/>
        </w:rPr>
      </w:pPr>
    </w:p>
    <w:p w14:paraId="7C4A8EBF" w14:textId="7A22D0A7" w:rsidR="007A5C4E" w:rsidRDefault="007A5C4E" w:rsidP="00641F66">
      <w:pPr>
        <w:rPr>
          <w:rFonts w:asciiTheme="minorHAnsi" w:hAnsiTheme="minorHAnsi" w:cstheme="minorBidi"/>
          <w:sz w:val="22"/>
          <w:szCs w:val="22"/>
          <w:lang w:val="en-US"/>
        </w:rPr>
      </w:pPr>
      <w:r>
        <w:rPr>
          <w:rFonts w:asciiTheme="minorHAnsi" w:hAnsiTheme="minorHAnsi" w:cstheme="minorBidi"/>
          <w:sz w:val="22"/>
          <w:szCs w:val="22"/>
          <w:lang w:val="en-US"/>
        </w:rPr>
        <w:t xml:space="preserve">Michael Spedding, Spedding Research Solutions, 6 Rue Ampere, </w:t>
      </w:r>
      <w:r w:rsidR="005E2520">
        <w:rPr>
          <w:rFonts w:asciiTheme="minorHAnsi" w:hAnsiTheme="minorHAnsi" w:cstheme="minorBidi"/>
          <w:sz w:val="22"/>
          <w:szCs w:val="22"/>
          <w:lang w:val="en-US"/>
        </w:rPr>
        <w:t>L</w:t>
      </w:r>
      <w:r>
        <w:rPr>
          <w:rFonts w:asciiTheme="minorHAnsi" w:hAnsiTheme="minorHAnsi" w:cstheme="minorBidi"/>
          <w:sz w:val="22"/>
          <w:szCs w:val="22"/>
          <w:lang w:val="en-US"/>
        </w:rPr>
        <w:t xml:space="preserve">e </w:t>
      </w:r>
      <w:proofErr w:type="spellStart"/>
      <w:r>
        <w:rPr>
          <w:rFonts w:asciiTheme="minorHAnsi" w:hAnsiTheme="minorHAnsi" w:cstheme="minorBidi"/>
          <w:sz w:val="22"/>
          <w:szCs w:val="22"/>
          <w:lang w:val="en-US"/>
        </w:rPr>
        <w:t>V</w:t>
      </w:r>
      <w:r w:rsidR="005E2520">
        <w:rPr>
          <w:rFonts w:asciiTheme="minorHAnsi" w:hAnsiTheme="minorHAnsi" w:cstheme="minorBidi"/>
          <w:sz w:val="22"/>
          <w:szCs w:val="22"/>
          <w:lang w:val="en-US"/>
        </w:rPr>
        <w:t>e</w:t>
      </w:r>
      <w:r>
        <w:rPr>
          <w:rFonts w:asciiTheme="minorHAnsi" w:hAnsiTheme="minorHAnsi" w:cstheme="minorBidi"/>
          <w:sz w:val="22"/>
          <w:szCs w:val="22"/>
          <w:lang w:val="en-US"/>
        </w:rPr>
        <w:t>sinet</w:t>
      </w:r>
      <w:proofErr w:type="spellEnd"/>
      <w:r>
        <w:rPr>
          <w:rFonts w:asciiTheme="minorHAnsi" w:hAnsiTheme="minorHAnsi" w:cstheme="minorBidi"/>
          <w:sz w:val="22"/>
          <w:szCs w:val="22"/>
          <w:lang w:val="en-US"/>
        </w:rPr>
        <w:t>, 78110, France</w:t>
      </w:r>
    </w:p>
    <w:p w14:paraId="479DFF62" w14:textId="77777777" w:rsidR="007A5C4E" w:rsidRDefault="007A5C4E" w:rsidP="00641F66">
      <w:pPr>
        <w:rPr>
          <w:rFonts w:asciiTheme="minorHAnsi" w:hAnsiTheme="minorHAnsi" w:cstheme="minorBidi"/>
          <w:sz w:val="22"/>
          <w:szCs w:val="22"/>
          <w:lang w:val="en-US"/>
        </w:rPr>
      </w:pPr>
    </w:p>
    <w:p w14:paraId="2D0A80F4" w14:textId="3FD25DB8" w:rsidR="000D1E6C" w:rsidRDefault="00641F66" w:rsidP="00641F66">
      <w:pPr>
        <w:rPr>
          <w:rFonts w:asciiTheme="minorHAnsi" w:hAnsiTheme="minorHAnsi" w:cstheme="minorBidi"/>
          <w:sz w:val="22"/>
          <w:szCs w:val="22"/>
          <w:lang w:val="en-US"/>
        </w:rPr>
      </w:pPr>
      <w:r>
        <w:rPr>
          <w:rFonts w:asciiTheme="minorHAnsi" w:hAnsiTheme="minorHAnsi" w:cstheme="minorBidi"/>
          <w:sz w:val="22"/>
          <w:szCs w:val="22"/>
          <w:lang w:val="en-US"/>
        </w:rPr>
        <w:t>Over the last 50 years I have evolved as an industrial pharmacologist (in multiple therapeutic areas), and as an athlete. For the last 35 years, I have been involved with IUPHAR</w:t>
      </w:r>
      <w:r w:rsidR="00791726">
        <w:rPr>
          <w:rFonts w:asciiTheme="minorHAnsi" w:hAnsiTheme="minorHAnsi" w:cstheme="minorBidi"/>
          <w:sz w:val="22"/>
          <w:szCs w:val="22"/>
          <w:lang w:val="en-US"/>
        </w:rPr>
        <w:t xml:space="preserve"> and NC-IUPHAR</w:t>
      </w:r>
      <w:r>
        <w:rPr>
          <w:rFonts w:asciiTheme="minorHAnsi" w:hAnsiTheme="minorHAnsi" w:cstheme="minorBidi"/>
          <w:sz w:val="22"/>
          <w:szCs w:val="22"/>
          <w:lang w:val="en-US"/>
        </w:rPr>
        <w:t>, first classifying</w:t>
      </w:r>
      <w:r w:rsidR="00791726">
        <w:rPr>
          <w:rFonts w:asciiTheme="minorHAnsi" w:hAnsiTheme="minorHAnsi" w:cstheme="minorBidi"/>
          <w:sz w:val="22"/>
          <w:szCs w:val="22"/>
          <w:lang w:val="en-US"/>
        </w:rPr>
        <w:t xml:space="preserve"> the receptors, ion channels and enzymes</w:t>
      </w:r>
      <w:r>
        <w:rPr>
          <w:rFonts w:asciiTheme="minorHAnsi" w:hAnsiTheme="minorHAnsi" w:cstheme="minorBidi"/>
          <w:sz w:val="22"/>
          <w:szCs w:val="22"/>
          <w:lang w:val="en-US"/>
        </w:rPr>
        <w:t xml:space="preserve"> in the human genome</w:t>
      </w:r>
      <w:r w:rsidR="00791726">
        <w:rPr>
          <w:rFonts w:asciiTheme="minorHAnsi" w:hAnsiTheme="minorHAnsi" w:cstheme="minorBidi"/>
          <w:sz w:val="22"/>
          <w:szCs w:val="22"/>
          <w:lang w:val="en-US"/>
        </w:rPr>
        <w:fldChar w:fldCharType="begin"/>
      </w:r>
      <w:r w:rsidR="00791726">
        <w:rPr>
          <w:rFonts w:asciiTheme="minorHAnsi" w:hAnsiTheme="minorHAnsi" w:cstheme="minorBidi"/>
          <w:sz w:val="22"/>
          <w:szCs w:val="22"/>
          <w:lang w:val="en-US"/>
        </w:rPr>
        <w:instrText xml:space="preserve"> ADDIN ZOTERO_ITEM CSL_CITATION {"citationID":"GmTWSXvt","properties":{"formattedCitation":"\\super 1\\nosupersub{}","plainCitation":"1","noteIndex":0},"citationItems":[{"id":10563,"uris":["http://zotero.org/groups/2578258/items/7BX2FNYZ"],"itemData":{"id":10563,"type":"article-journal","abstract":"The Concise Guide to Pharmacology 2025/26 marks the seventh edition in this series of biennial publications in the British Journal of Pharmacology. Presented in landscape format, the guide provides a comparative overview of the pharmacology of drug target families. The concise nature of the Concise Guide refers to the style of presentation, being clear, accessible, and well-structured, rather than the scope of the content, which spans approximately 500 pages. The Concise Guide summarises the key pharmacological properties of around 1900 human drug targets, and nearly 7000 interactions, involving around 4400 ligands. While the content is a substantially condensed version of the more detailed information and links available at the www.guidetopharmacology.org website, the printed guide serves as a permanent, citable, point-in-time record, that remains stable despite ongoing updates to the online database. The full contents of this publication can be found at https://bpspubs.onlinelibrary.wiley.com/doi/10.1111/bph.70229. The Concise Guides provide expert-curated recommendations of 'Gold Standard' selective pharmacological tools, available either commercially or as donations, which enable the identification of individual drug targets or families of drug targets. While the Concise Guide offers a more streamlined overview, more comprehensive information, including detailed pharmacological profiles and links to multiple online databases, is available through the Guide to Pharmacology website. The 2025/26 edition of the Concise Guide is based on material current as of mid-2025, and supersedes all previous editions, including the 2023/24 Guide, and earlier Guides to Receptors and Channels. It is produced in close conjunction with the Nomenclature and Standards Committee of the International Union of Basic and Clinical Pharmacology (NC-IUPHAR), and as such provides official IUPHAR classification and nomenclature for human drug targets, where applicable. In addition to this general overview, which includes a section on 'Other protein targets' that fall outside of the main classifications, the Concise Guide focuses on six key areas: G protein-coupled receptors, ion channels, nuclear hormone receptors, catalytic receptors, enzymes and transporters. Each section includes nomenclature guidance, concise summaries, information of the best available pharmacological tools, key references, and suggestions for further reading.","container-title":"British Journal of Pharmacology","DOI":"10.1111/bph.70229","ISSN":"1476-5381","journalAbbreviation":"Br J Pharmacol","language":"eng","page":"S1-S23","PMID":"41461576","source":"PubMed","title":"The Concise Guide to PHARMACOLOGY 2025/26: Introduction and Other Protein Targets","title-short":"The Concise Guide to PHARMACOLOGY 2025/26","volume":"182 Suppl 1","author":[{"family":"Alexander","given":"Stephen P. H."},{"family":"Gibb","given":"Alasdair J."},{"family":"Kelly","given":"Eamonn"},{"family":"Mathie","given":"Alistair A."},{"family":"Peach","given":"Chloe J."},{"family":"Veale","given":"Emma L."},{"family":"Cidlowski","given":"John A."},{"family":"Davenport","given":"Anthony P."},{"family":"Fabbro","given":"Doriano"},{"family":"Spedding","given":"Michael"},{"family":"Striessnig","given":"Jörg"},{"family":"Armstrong","given":"Jane F."},{"family":"Buneman","given":"O. Peter"},{"family":"Faccenda","given":"Elena"},{"family":"Harding","given":"Simon D."},{"family":"Southan","given":"Christopher"},{"family":"Davies","given":"Jamie A."},{"family":"Ahlers-Dannen","given":"Katelin E."},{"family":"Alqinyah","given":"Mohammed"},{"family":"Arumugam","given":"Thiruma V."},{"family":"Bodle","given":"Christopher"},{"family":"Dagner","given":"Josephine Buo"},{"family":"Chakravarti","given":"Bandana"},{"family":"Choudhuri","given":"Shreoshi P."},{"family":"Druey","given":"Kirk M."},{"family":"Fisher","given":"Rory A."},{"family":"Gerber","given":"Kyle J."},{"family":"Hepler","given":"John R."},{"family":"Hooks","given":"Shelley B."},{"family":"Kantheti","given":"Havish S."},{"family":"Karaj","given":"Behirda"},{"family":"Layeghi-Ghalehsoukhteh","given":"Somayeh"},{"family":"Lee","given":"Jae-Kyung"},{"family":"Luo","given":"Zili"},{"family":"Martemyanov","given":"Kirill"},{"family":"Mascarenhas","given":"Luke D."},{"family":"McNabb","given":"Harrison"},{"family":"Montañez-Miranda","given":"Carolina"},{"family":"Ogujiofor","given":"Osita"},{"family":"Phan","given":"Hoa"},{"family":"Roman","given":"David L."},{"family":"Shaw","given":"Vincent"},{"family":"Sjogren","given":"Benita"},{"family":"Sobey","given":"Christopher"},{"family":"Spicer","given":"Mackenzie M."},{"family":"Squires","given":"Katherine E."},{"family":"Sutton","given":"Laurie"},{"family":"Wendimu","given":"Menbere"},{"family":"Wilkie","given":"Thomas"},{"family":"Xie","given":"Keqiang"},{"family":"Zhang","given":"Qian"},{"family":"Zolghadri","given":"Yalda"}],"issued":{"date-parts":[["2025",12]]}}}],"schema":"https://github.com/citation-style-language/schema/raw/master/csl-citation.json"} </w:instrText>
      </w:r>
      <w:r w:rsidR="00791726">
        <w:rPr>
          <w:rFonts w:asciiTheme="minorHAnsi" w:hAnsiTheme="minorHAnsi" w:cstheme="minorBidi"/>
          <w:sz w:val="22"/>
          <w:szCs w:val="22"/>
          <w:lang w:val="en-US"/>
        </w:rPr>
        <w:fldChar w:fldCharType="separate"/>
      </w:r>
      <w:r w:rsidR="00791726" w:rsidRPr="00791726">
        <w:rPr>
          <w:rFonts w:ascii="Calibri" w:hAnsi="Calibri"/>
          <w:sz w:val="22"/>
          <w:vertAlign w:val="superscript"/>
          <w:lang w:val="en-US"/>
        </w:rPr>
        <w:t>1</w:t>
      </w:r>
      <w:r w:rsidR="00791726">
        <w:rPr>
          <w:rFonts w:asciiTheme="minorHAnsi" w:hAnsiTheme="minorHAnsi" w:cstheme="minorBidi"/>
          <w:sz w:val="22"/>
          <w:szCs w:val="22"/>
          <w:lang w:val="en-US"/>
        </w:rPr>
        <w:fldChar w:fldCharType="end"/>
      </w:r>
      <w:r>
        <w:rPr>
          <w:rFonts w:asciiTheme="minorHAnsi" w:hAnsiTheme="minorHAnsi" w:cstheme="minorBidi"/>
          <w:sz w:val="22"/>
          <w:szCs w:val="22"/>
          <w:lang w:val="en-US"/>
        </w:rPr>
        <w:t xml:space="preserve">, then as secretary general involved with healthcare worldwide, allowing me to develop a unique perspective </w:t>
      </w:r>
      <w:r>
        <w:rPr>
          <w:rFonts w:asciiTheme="minorHAnsi" w:hAnsiTheme="minorHAnsi" w:cstheme="minorBidi"/>
          <w:sz w:val="22"/>
          <w:szCs w:val="22"/>
          <w:lang w:val="en-US"/>
        </w:rPr>
        <w:t xml:space="preserve">on </w:t>
      </w:r>
      <w:r w:rsidR="005E2520">
        <w:rPr>
          <w:rFonts w:asciiTheme="minorHAnsi" w:hAnsiTheme="minorHAnsi" w:cstheme="minorBidi"/>
          <w:sz w:val="22"/>
          <w:szCs w:val="22"/>
          <w:lang w:val="en-US"/>
        </w:rPr>
        <w:t xml:space="preserve">the </w:t>
      </w:r>
      <w:r>
        <w:rPr>
          <w:rFonts w:asciiTheme="minorHAnsi" w:hAnsiTheme="minorHAnsi" w:cstheme="minorBidi"/>
          <w:sz w:val="22"/>
          <w:szCs w:val="22"/>
          <w:lang w:val="en-US"/>
        </w:rPr>
        <w:t>possibilit</w:t>
      </w:r>
      <w:r w:rsidR="005E2520">
        <w:rPr>
          <w:rFonts w:asciiTheme="minorHAnsi" w:hAnsiTheme="minorHAnsi" w:cstheme="minorBidi"/>
          <w:sz w:val="22"/>
          <w:szCs w:val="22"/>
          <w:lang w:val="en-US"/>
        </w:rPr>
        <w:t>y</w:t>
      </w:r>
      <w:r>
        <w:rPr>
          <w:rFonts w:asciiTheme="minorHAnsi" w:hAnsiTheme="minorHAnsi" w:cstheme="minorBidi"/>
          <w:sz w:val="22"/>
          <w:szCs w:val="22"/>
          <w:lang w:val="en-US"/>
        </w:rPr>
        <w:t xml:space="preserve"> for therap</w:t>
      </w:r>
      <w:r w:rsidR="005E2520">
        <w:rPr>
          <w:rFonts w:asciiTheme="minorHAnsi" w:hAnsiTheme="minorHAnsi" w:cstheme="minorBidi"/>
          <w:sz w:val="22"/>
          <w:szCs w:val="22"/>
          <w:lang w:val="en-US"/>
        </w:rPr>
        <w:t>ies</w:t>
      </w:r>
      <w:r w:rsidR="00417D85">
        <w:rPr>
          <w:rFonts w:asciiTheme="minorHAnsi" w:hAnsiTheme="minorHAnsi" w:cstheme="minorBidi"/>
          <w:sz w:val="22"/>
          <w:szCs w:val="22"/>
          <w:lang w:val="en-US"/>
        </w:rPr>
        <w:t>,</w:t>
      </w:r>
      <w:r w:rsidR="005E2520">
        <w:rPr>
          <w:rFonts w:asciiTheme="minorHAnsi" w:hAnsiTheme="minorHAnsi" w:cstheme="minorBidi"/>
          <w:sz w:val="22"/>
          <w:szCs w:val="22"/>
          <w:lang w:val="en-US"/>
        </w:rPr>
        <w:t xml:space="preserve"> based on human evolution</w:t>
      </w:r>
      <w:r>
        <w:rPr>
          <w:rFonts w:asciiTheme="minorHAnsi" w:hAnsiTheme="minorHAnsi" w:cstheme="minorBidi"/>
          <w:sz w:val="22"/>
          <w:szCs w:val="22"/>
          <w:lang w:val="en-US"/>
        </w:rPr>
        <w:t xml:space="preserve">. Around three million years ago hominins acquired a series of mutations </w:t>
      </w:r>
      <w:r>
        <w:rPr>
          <w:rFonts w:asciiTheme="minorHAnsi" w:hAnsiTheme="minorHAnsi" w:cstheme="minorBidi"/>
          <w:sz w:val="22"/>
          <w:szCs w:val="22"/>
          <w:lang w:val="en-US"/>
        </w:rPr>
        <w:t>(perhaps sequelae of viral infections) permitting endurance hunting</w:t>
      </w:r>
      <w:r>
        <w:rPr>
          <w:rFonts w:asciiTheme="minorHAnsi" w:hAnsiTheme="minorHAnsi" w:cstheme="minorBidi"/>
          <w:sz w:val="22"/>
          <w:szCs w:val="22"/>
          <w:lang w:val="en-US"/>
        </w:rPr>
        <w:t>, leading to changes in metabolism, brain size and potential longevity. Advances in sports sciences and lactate metabolism have recently allowed absolute increases in human performance (</w:t>
      </w:r>
      <w:proofErr w:type="gramStart"/>
      <w:r>
        <w:rPr>
          <w:rFonts w:asciiTheme="minorHAnsi" w:hAnsiTheme="minorHAnsi" w:cstheme="minorBidi"/>
          <w:sz w:val="22"/>
          <w:szCs w:val="22"/>
          <w:lang w:val="en-US"/>
        </w:rPr>
        <w:t>e.g.</w:t>
      </w:r>
      <w:proofErr w:type="gramEnd"/>
      <w:r>
        <w:rPr>
          <w:rFonts w:asciiTheme="minorHAnsi" w:hAnsiTheme="minorHAnsi" w:cstheme="minorBidi"/>
          <w:sz w:val="22"/>
          <w:szCs w:val="22"/>
          <w:lang w:val="en-US"/>
        </w:rPr>
        <w:t xml:space="preserve"> T</w:t>
      </w:r>
      <w:r w:rsidR="005E2520">
        <w:rPr>
          <w:rFonts w:asciiTheme="minorHAnsi" w:hAnsiTheme="minorHAnsi" w:cstheme="minorBidi"/>
          <w:sz w:val="22"/>
          <w:szCs w:val="22"/>
          <w:lang w:val="en-US"/>
        </w:rPr>
        <w:t>adaj</w:t>
      </w:r>
      <w:r>
        <w:rPr>
          <w:rFonts w:asciiTheme="minorHAnsi" w:hAnsiTheme="minorHAnsi" w:cstheme="minorBidi"/>
          <w:sz w:val="22"/>
          <w:szCs w:val="22"/>
          <w:lang w:val="en-US"/>
        </w:rPr>
        <w:t xml:space="preserve"> </w:t>
      </w:r>
      <w:proofErr w:type="spellStart"/>
      <w:r>
        <w:rPr>
          <w:rFonts w:asciiTheme="minorHAnsi" w:hAnsiTheme="minorHAnsi" w:cstheme="minorBidi"/>
          <w:sz w:val="22"/>
          <w:szCs w:val="22"/>
          <w:lang w:val="en-US"/>
        </w:rPr>
        <w:t>Pogaçar</w:t>
      </w:r>
      <w:proofErr w:type="spellEnd"/>
      <w:r>
        <w:rPr>
          <w:rFonts w:asciiTheme="minorHAnsi" w:hAnsiTheme="minorHAnsi" w:cstheme="minorBidi"/>
          <w:sz w:val="22"/>
          <w:szCs w:val="22"/>
          <w:lang w:val="en-US"/>
        </w:rPr>
        <w:t xml:space="preserve"> in cycling), but these are the inverse of what happens in ALS, </w:t>
      </w:r>
      <w:r w:rsidR="005E2520">
        <w:rPr>
          <w:rFonts w:asciiTheme="minorHAnsi" w:hAnsiTheme="minorHAnsi" w:cstheme="minorBidi"/>
          <w:sz w:val="22"/>
          <w:szCs w:val="22"/>
          <w:lang w:val="en-US"/>
        </w:rPr>
        <w:t>but are</w:t>
      </w:r>
      <w:r>
        <w:rPr>
          <w:rFonts w:asciiTheme="minorHAnsi" w:hAnsiTheme="minorHAnsi" w:cstheme="minorBidi"/>
          <w:sz w:val="22"/>
          <w:szCs w:val="22"/>
          <w:lang w:val="en-US"/>
        </w:rPr>
        <w:t xml:space="preserve"> coupled to </w:t>
      </w:r>
      <w:r w:rsidR="000C599B">
        <w:rPr>
          <w:rFonts w:asciiTheme="minorHAnsi" w:hAnsiTheme="minorHAnsi" w:cstheme="minorBidi"/>
          <w:sz w:val="22"/>
          <w:szCs w:val="22"/>
          <w:lang w:val="en-US"/>
        </w:rPr>
        <w:t xml:space="preserve">the </w:t>
      </w:r>
      <w:r>
        <w:rPr>
          <w:rFonts w:asciiTheme="minorHAnsi" w:hAnsiTheme="minorHAnsi" w:cstheme="minorBidi"/>
          <w:sz w:val="22"/>
          <w:szCs w:val="22"/>
          <w:lang w:val="en-US"/>
        </w:rPr>
        <w:t>changes in human evolution</w:t>
      </w:r>
      <w:r>
        <w:rPr>
          <w:rFonts w:asciiTheme="minorHAnsi" w:hAnsiTheme="minorHAnsi" w:cstheme="minorBidi"/>
          <w:sz w:val="22"/>
          <w:szCs w:val="22"/>
          <w:lang w:val="en-US"/>
        </w:rPr>
        <w:fldChar w:fldCharType="begin"/>
      </w:r>
      <w:r w:rsidR="00791726">
        <w:rPr>
          <w:rFonts w:asciiTheme="minorHAnsi" w:hAnsiTheme="minorHAnsi" w:cstheme="minorBidi"/>
          <w:sz w:val="22"/>
          <w:szCs w:val="22"/>
          <w:lang w:val="en-US"/>
        </w:rPr>
        <w:instrText xml:space="preserve"> ADDIN ZOTERO_ITEM CSL_CITATION {"citationID":"74pC0REv","properties":{"formattedCitation":"\\super 2\\nosupersub{}","plainCitation":"2","noteIndex":0},"citationItems":[{"id":10345,"uris":["http://zotero.org/groups/2578258/items/5SF8GATI"],"itemData":{"id":10345,"type":"article-journal","abstract":"As so many drugs have failed in ALS a new approach is needed. The author proposes that recent human genetic variants may play major roles in the disease, changing metabolism. Evolution of hominins was accelerated 3-2.5 Mya, by cytidine monophospho-N-acetylneuraminic acid hydroxylase (CMAH) becoming a unitary pseudogene after a pathogenic infection, changing the sialome, and hence metabolism, brain development and neuromuscular junctions (NMJs). This was when hominins evolved to run in Africa and develop bigger brains. Deletion of CMAH in mice allows them to run for longer (~50%). The enzyme CMAH is critical for the sialome, particularly the neurotrophin GM1, a critical hub for viral infection and for NMJ stability, but which is lost from NMJs at the beginning of denervation, probably due a 10-fold increase in spinal cord glucosylceramidases (non-lysosomal GBA2). A GBA2 inhibitor, ambroxol, is currently in phase II for ALS. Human-specific GM1 may be critical for human evolution, lactate metabolism and ALS. Lipid/lactate metabolism changed to support these evolutionary changes and lactate is a major body/brain fuel, but compromised in ALS patients and a marker of disease progression. Recent progress in sports science involving lactate metabolism and human performance may also be relevant to ALS therapies, and incidence.","container-title":"Cells","DOI":"10.3390/cells14211734","ISSN":"2073-4409","issue":"21","journalAbbreviation":"Cells","language":"eng","page":"1734","PMID":"41227379","PMCID":"PMC12610041","source":"PubMed","title":"Does Amyotrophic Lateral Sclerosis (ALS) Have Metabolic Causes from Human Evolution?","volume":"14","author":[{"family":"Spedding","given":"Michael"}],"issued":{"date-parts":[["2025",11,5]]}}}],"schema":"https://github.com/citation-style-language/schema/raw/master/csl-citation.json"} </w:instrText>
      </w:r>
      <w:r>
        <w:rPr>
          <w:rFonts w:asciiTheme="minorHAnsi" w:hAnsiTheme="minorHAnsi" w:cstheme="minorBidi"/>
          <w:sz w:val="22"/>
          <w:szCs w:val="22"/>
          <w:lang w:val="en-US"/>
        </w:rPr>
        <w:fldChar w:fldCharType="separate"/>
      </w:r>
      <w:r w:rsidR="00791726" w:rsidRPr="00791726">
        <w:rPr>
          <w:rFonts w:ascii="Calibri" w:hAnsi="Calibri"/>
          <w:sz w:val="22"/>
          <w:vertAlign w:val="superscript"/>
          <w:lang w:val="en-US"/>
        </w:rPr>
        <w:t>2</w:t>
      </w:r>
      <w:r>
        <w:rPr>
          <w:rFonts w:asciiTheme="minorHAnsi" w:hAnsiTheme="minorHAnsi" w:cstheme="minorBidi"/>
          <w:sz w:val="22"/>
          <w:szCs w:val="22"/>
          <w:lang w:val="en-US"/>
        </w:rPr>
        <w:fldChar w:fldCharType="end"/>
      </w:r>
      <w:r>
        <w:rPr>
          <w:rFonts w:asciiTheme="minorHAnsi" w:hAnsiTheme="minorHAnsi" w:cstheme="minorBidi"/>
          <w:sz w:val="22"/>
          <w:szCs w:val="22"/>
          <w:lang w:val="en-US"/>
        </w:rPr>
        <w:t>. Lipidomic analysis of models of ALS, and of viral infection</w:t>
      </w:r>
      <w:r w:rsidR="000C599B">
        <w:rPr>
          <w:rFonts w:asciiTheme="minorHAnsi" w:hAnsiTheme="minorHAnsi" w:cstheme="minorBidi"/>
          <w:sz w:val="22"/>
          <w:szCs w:val="22"/>
          <w:lang w:val="en-US"/>
        </w:rPr>
        <w:t xml:space="preserve"> (particularly COVID-19)</w:t>
      </w:r>
      <w:r>
        <w:rPr>
          <w:rFonts w:asciiTheme="minorHAnsi" w:hAnsiTheme="minorHAnsi" w:cstheme="minorBidi"/>
          <w:sz w:val="22"/>
          <w:szCs w:val="22"/>
          <w:lang w:val="en-US"/>
        </w:rPr>
        <w:t>, reveal critical nodes in glycosphingolipid and ganglioside metabolism, which have been modified in evolution, and which affect human performance</w:t>
      </w:r>
      <w:r w:rsidR="000C599B">
        <w:rPr>
          <w:rFonts w:asciiTheme="minorHAnsi" w:hAnsiTheme="minorHAnsi" w:cstheme="minorBidi"/>
          <w:sz w:val="22"/>
          <w:szCs w:val="22"/>
          <w:lang w:val="en-US"/>
        </w:rPr>
        <w:t xml:space="preserve"> </w:t>
      </w:r>
      <w:r w:rsidR="000C599B">
        <w:rPr>
          <w:rFonts w:asciiTheme="minorHAnsi" w:hAnsiTheme="minorHAnsi" w:cstheme="minorBidi"/>
          <w:sz w:val="22"/>
          <w:szCs w:val="22"/>
          <w:lang w:val="en-US"/>
        </w:rPr>
        <w:t>and susceptibility to both ALS and viral infection</w:t>
      </w:r>
      <w:r w:rsidR="00791726">
        <w:rPr>
          <w:rFonts w:asciiTheme="minorHAnsi" w:hAnsiTheme="minorHAnsi" w:cstheme="minorBidi"/>
          <w:sz w:val="22"/>
          <w:szCs w:val="22"/>
          <w:lang w:val="en-US"/>
        </w:rPr>
        <w:fldChar w:fldCharType="begin"/>
      </w:r>
      <w:r w:rsidR="00791726">
        <w:rPr>
          <w:rFonts w:asciiTheme="minorHAnsi" w:hAnsiTheme="minorHAnsi" w:cstheme="minorBidi"/>
          <w:sz w:val="22"/>
          <w:szCs w:val="22"/>
          <w:lang w:val="en-US"/>
        </w:rPr>
        <w:instrText xml:space="preserve"> ADDIN ZOTERO_ITEM CSL_CITATION {"citationID":"m3VADOXr","properties":{"formattedCitation":"\\super 3\\nosupersub{}","plainCitation":"3","noteIndex":0},"citationItems":[{"id":10566,"uris":["http://zotero.org/groups/2578258/items/5DWTHSSL"],"itemData":{"id":10566,"type":"article-journal","abstract":"Glycosphingolipids (GSLs) play major roles in viral infections by mediating viral entry and egress from cells in lipid rafts; however, GSLs are also important in neurodegenerative diseases. The role of GSLs in acute COVID-19 infection is critical but remains less-studied in the sequelae of long COVID (post-COVID condition); because the same enzymes that regulate GSL metabolism are critical for viral entry and exit, neuromuscular junctions, neurological function, and cellular metabolism, it is important to determine whether long COVID may increase the risk of subsequent neurodegeneration. SARS-CoV-2 infection alters lipid metabolism and oxygen use and can bind to and modify the expression of neurotrophic GSLs such as GM1 ganglioside. GM1 (N-acetylneuraminic acid) is human-specific and probably evolved as a result of a pandemic 3-2.5 million years ago that drove its selection. GM1 functions as a coreceptor with angiotensin-converting enzyme 2 for SARS-CoV-2 while also being a neurotrophin. Viral multiplication takes place in the endoplasmic reticulum/Golgi apparatus, where GSLs are synthesized. This review defines the complex interaction between viruses, GSLs, and neurodegeneration, which provides new perspectives on the interlinked metabolic changes. A European working group has been set up to assess the risks of neurodegeneration with long COVID, based on potential GSL-mediated mechanisms. SIGNIFICANCE STATEMENT: The SARS-CoV-2 pandemic has resulted in a large number of subjects living with long-term consequences (long COVID). Glycosphingolipids and gangliosides are involved in both viral infections and neurodegeneration; hence, it is important to evaluate whether long COVID may increase the risk of neurodegeneration via this route. This study is the result of a European consortium formed to evaluate this possibility.","container-title":"Pharmacological Reviews","DOI":"10.1016/j.pharmr.2026.100113","ISSN":"1521-0081","issue":"2","journalAbbreviation":"Pharmacol Rev","language":"eng","page":"100113","PMID":"41740316","source":"PubMed","title":"Links between COVID-19, long COVID, and neurodegeneration: The role of glycosphingolipids","title-short":"Links between COVID-19, long COVID, and neurodegeneration","volume":"78","author":[{"family":"Spedding","given":"Michael"},{"family":"Aerts","given":"Johannes"},{"family":"Alexander","given":"Steve"},{"family":"Bellozzi Woestelandt","given":"Aurélie-Gaëlle"},{"family":"Chiricozzi","given":"Elena"},{"family":"Henriques","given":"Alexandre"},{"family":"Lledo","given":"Pierre-Marie"},{"family":"Loeffler","given":"Jean-Philippe"},{"family":"Perera","given":"Rushika"},{"family":"Platt","given":"Frances M."},{"family":"Pradat","given":"Pierre-François"},{"family":"Rene","given":"Frédérique"},{"family":"Schapira","given":"Anthony"},{"family":"St Clair","given":"Laura"},{"family":"Talbot","given":"Kevin"},{"family":"Taquet","given":"Maxime"},{"family":"Toborek","given":"Michal"},{"family":"Turner","given":"Bradley"},{"family":"Zandi","given":"Michael"},{"family":"Gressens","given":"Pierre"}],"issued":{"date-parts":[["2026",1,29]]}}}],"schema":"https://github.com/citation-style-language/schema/raw/master/csl-citation.json"} </w:instrText>
      </w:r>
      <w:r w:rsidR="00791726">
        <w:rPr>
          <w:rFonts w:asciiTheme="minorHAnsi" w:hAnsiTheme="minorHAnsi" w:cstheme="minorBidi"/>
          <w:sz w:val="22"/>
          <w:szCs w:val="22"/>
          <w:lang w:val="en-US"/>
        </w:rPr>
        <w:fldChar w:fldCharType="separate"/>
      </w:r>
      <w:r w:rsidR="00791726" w:rsidRPr="00791726">
        <w:rPr>
          <w:rFonts w:ascii="Calibri" w:hAnsi="Calibri"/>
          <w:sz w:val="22"/>
          <w:vertAlign w:val="superscript"/>
        </w:rPr>
        <w:t>3</w:t>
      </w:r>
      <w:r w:rsidR="00791726">
        <w:rPr>
          <w:rFonts w:asciiTheme="minorHAnsi" w:hAnsiTheme="minorHAnsi" w:cstheme="minorBidi"/>
          <w:sz w:val="22"/>
          <w:szCs w:val="22"/>
          <w:lang w:val="en-US"/>
        </w:rPr>
        <w:fldChar w:fldCharType="end"/>
      </w:r>
      <w:r>
        <w:rPr>
          <w:rFonts w:asciiTheme="minorHAnsi" w:hAnsiTheme="minorHAnsi" w:cstheme="minorBidi"/>
          <w:sz w:val="22"/>
          <w:szCs w:val="22"/>
          <w:lang w:val="en-US"/>
        </w:rPr>
        <w:t>.</w:t>
      </w:r>
      <w:r w:rsidR="000C599B">
        <w:rPr>
          <w:rFonts w:asciiTheme="minorHAnsi" w:hAnsiTheme="minorHAnsi" w:cstheme="minorBidi"/>
          <w:sz w:val="22"/>
          <w:szCs w:val="22"/>
          <w:lang w:val="en-US"/>
        </w:rPr>
        <w:t xml:space="preserve"> A modulator of </w:t>
      </w:r>
      <w:proofErr w:type="spellStart"/>
      <w:r w:rsidR="000C599B">
        <w:rPr>
          <w:rFonts w:asciiTheme="minorHAnsi" w:hAnsiTheme="minorHAnsi" w:cstheme="minorBidi"/>
          <w:sz w:val="22"/>
          <w:szCs w:val="22"/>
          <w:lang w:val="en-US"/>
        </w:rPr>
        <w:t>glucosylceramidase</w:t>
      </w:r>
      <w:proofErr w:type="spellEnd"/>
      <w:r w:rsidR="000C599B">
        <w:rPr>
          <w:rFonts w:asciiTheme="minorHAnsi" w:hAnsiTheme="minorHAnsi" w:cstheme="minorBidi"/>
          <w:sz w:val="22"/>
          <w:szCs w:val="22"/>
          <w:lang w:val="en-US"/>
        </w:rPr>
        <w:t xml:space="preserve"> activity, ambroxol, </w:t>
      </w:r>
      <w:r w:rsidR="007A5C4E">
        <w:rPr>
          <w:rFonts w:asciiTheme="minorHAnsi" w:hAnsiTheme="minorHAnsi" w:cstheme="minorBidi"/>
          <w:sz w:val="22"/>
          <w:szCs w:val="22"/>
          <w:lang w:val="en-US"/>
        </w:rPr>
        <w:t>which has</w:t>
      </w:r>
      <w:r w:rsidR="000C599B">
        <w:rPr>
          <w:rFonts w:asciiTheme="minorHAnsi" w:hAnsiTheme="minorHAnsi" w:cstheme="minorBidi"/>
          <w:sz w:val="22"/>
          <w:szCs w:val="22"/>
          <w:lang w:val="en-US"/>
        </w:rPr>
        <w:t xml:space="preserve"> protective effects in models of ALS and of viral infection, is currently in phase IIB for ALS, in Australia. Furthermore, application</w:t>
      </w:r>
      <w:r w:rsidR="007A5C4E">
        <w:rPr>
          <w:rFonts w:asciiTheme="minorHAnsi" w:hAnsiTheme="minorHAnsi" w:cstheme="minorBidi"/>
          <w:sz w:val="22"/>
          <w:szCs w:val="22"/>
          <w:lang w:val="en-US"/>
        </w:rPr>
        <w:t xml:space="preserve"> of</w:t>
      </w:r>
      <w:r w:rsidR="000C599B">
        <w:rPr>
          <w:rFonts w:asciiTheme="minorHAnsi" w:hAnsiTheme="minorHAnsi" w:cstheme="minorBidi"/>
          <w:sz w:val="22"/>
          <w:szCs w:val="22"/>
          <w:lang w:val="en-US"/>
        </w:rPr>
        <w:t xml:space="preserve"> the recent ad</w:t>
      </w:r>
      <w:r w:rsidR="007A5C4E">
        <w:rPr>
          <w:rFonts w:asciiTheme="minorHAnsi" w:hAnsiTheme="minorHAnsi" w:cstheme="minorBidi"/>
          <w:sz w:val="22"/>
          <w:szCs w:val="22"/>
          <w:lang w:val="en-US"/>
        </w:rPr>
        <w:t>v</w:t>
      </w:r>
      <w:r w:rsidR="000C599B">
        <w:rPr>
          <w:rFonts w:asciiTheme="minorHAnsi" w:hAnsiTheme="minorHAnsi" w:cstheme="minorBidi"/>
          <w:sz w:val="22"/>
          <w:szCs w:val="22"/>
          <w:lang w:val="en-US"/>
        </w:rPr>
        <w:t xml:space="preserve">ances in sports medicine, and </w:t>
      </w:r>
      <w:r w:rsidR="007A5C4E">
        <w:rPr>
          <w:rFonts w:asciiTheme="minorHAnsi" w:hAnsiTheme="minorHAnsi" w:cstheme="minorBidi"/>
          <w:sz w:val="22"/>
          <w:szCs w:val="22"/>
          <w:lang w:val="en-US"/>
        </w:rPr>
        <w:t xml:space="preserve">particularly </w:t>
      </w:r>
      <w:r w:rsidR="000C599B">
        <w:rPr>
          <w:rFonts w:asciiTheme="minorHAnsi" w:hAnsiTheme="minorHAnsi" w:cstheme="minorBidi"/>
          <w:sz w:val="22"/>
          <w:szCs w:val="22"/>
          <w:lang w:val="en-US"/>
        </w:rPr>
        <w:t>of la</w:t>
      </w:r>
      <w:r w:rsidR="007A5C4E">
        <w:rPr>
          <w:rFonts w:asciiTheme="minorHAnsi" w:hAnsiTheme="minorHAnsi" w:cstheme="minorBidi"/>
          <w:sz w:val="22"/>
          <w:szCs w:val="22"/>
          <w:lang w:val="en-US"/>
        </w:rPr>
        <w:t>ct</w:t>
      </w:r>
      <w:r w:rsidR="000C599B">
        <w:rPr>
          <w:rFonts w:asciiTheme="minorHAnsi" w:hAnsiTheme="minorHAnsi" w:cstheme="minorBidi"/>
          <w:sz w:val="22"/>
          <w:szCs w:val="22"/>
          <w:lang w:val="en-US"/>
        </w:rPr>
        <w:t>ate metabolism</w:t>
      </w:r>
      <w:r w:rsidR="007A5C4E">
        <w:rPr>
          <w:rFonts w:asciiTheme="minorHAnsi" w:hAnsiTheme="minorHAnsi" w:cstheme="minorBidi"/>
          <w:sz w:val="22"/>
          <w:szCs w:val="22"/>
          <w:lang w:val="en-US"/>
        </w:rPr>
        <w:t xml:space="preserve">, may be beneficial in ALS and have more general </w:t>
      </w:r>
      <w:r w:rsidR="00417D85">
        <w:rPr>
          <w:rFonts w:asciiTheme="minorHAnsi" w:hAnsiTheme="minorHAnsi" w:cstheme="minorBidi"/>
          <w:sz w:val="22"/>
          <w:szCs w:val="22"/>
          <w:lang w:val="en-US"/>
        </w:rPr>
        <w:t xml:space="preserve">beneficial </w:t>
      </w:r>
      <w:r w:rsidR="007A5C4E">
        <w:rPr>
          <w:rFonts w:asciiTheme="minorHAnsi" w:hAnsiTheme="minorHAnsi" w:cstheme="minorBidi"/>
          <w:sz w:val="22"/>
          <w:szCs w:val="22"/>
          <w:lang w:val="en-US"/>
        </w:rPr>
        <w:t>effects on healthcare worldwide.</w:t>
      </w:r>
    </w:p>
    <w:p w14:paraId="4409B799" w14:textId="43D54CD6" w:rsidR="00641F66" w:rsidRDefault="00641F66" w:rsidP="00641F66">
      <w:pPr>
        <w:rPr>
          <w:rFonts w:asciiTheme="minorHAnsi" w:hAnsiTheme="minorHAnsi" w:cstheme="minorBidi"/>
          <w:sz w:val="22"/>
          <w:szCs w:val="22"/>
          <w:lang w:val="en-US"/>
        </w:rPr>
      </w:pPr>
    </w:p>
    <w:p w14:paraId="01E523DD" w14:textId="77777777" w:rsidR="00791726" w:rsidRPr="00417D85" w:rsidRDefault="00641F66" w:rsidP="00791726">
      <w:pPr>
        <w:pStyle w:val="Bibliographie"/>
        <w:spacing w:line="240" w:lineRule="auto"/>
        <w:rPr>
          <w:rFonts w:asciiTheme="minorHAnsi" w:hAnsiTheme="minorHAnsi" w:cstheme="minorHAnsi"/>
          <w:sz w:val="22"/>
          <w:szCs w:val="22"/>
          <w:lang w:val="en-US"/>
        </w:rPr>
      </w:pPr>
      <w:r w:rsidRPr="00417D85">
        <w:rPr>
          <w:rFonts w:asciiTheme="minorHAnsi" w:hAnsiTheme="minorHAnsi" w:cstheme="minorHAnsi"/>
          <w:sz w:val="22"/>
          <w:szCs w:val="22"/>
          <w:lang w:val="en-US"/>
        </w:rPr>
        <w:fldChar w:fldCharType="begin"/>
      </w:r>
      <w:r w:rsidR="00791726" w:rsidRPr="00417D85">
        <w:rPr>
          <w:rFonts w:asciiTheme="minorHAnsi" w:hAnsiTheme="minorHAnsi" w:cstheme="minorHAnsi"/>
          <w:sz w:val="22"/>
          <w:szCs w:val="22"/>
        </w:rPr>
        <w:instrText xml:space="preserve"> ADDIN ZOTERO_BIBL {"uncited":[],"omitted":[],"custom":[]} CSL_BIBLIOGRAPHY </w:instrText>
      </w:r>
      <w:r w:rsidRPr="00417D85">
        <w:rPr>
          <w:rFonts w:asciiTheme="minorHAnsi" w:hAnsiTheme="minorHAnsi" w:cstheme="minorHAnsi"/>
          <w:sz w:val="22"/>
          <w:szCs w:val="22"/>
          <w:lang w:val="en-US"/>
        </w:rPr>
        <w:fldChar w:fldCharType="separate"/>
      </w:r>
      <w:r w:rsidR="00791726" w:rsidRPr="00417D85">
        <w:rPr>
          <w:rFonts w:asciiTheme="minorHAnsi" w:hAnsiTheme="minorHAnsi" w:cstheme="minorHAnsi"/>
          <w:sz w:val="22"/>
          <w:szCs w:val="22"/>
        </w:rPr>
        <w:t>1.</w:t>
      </w:r>
      <w:r w:rsidR="00791726" w:rsidRPr="00417D85">
        <w:rPr>
          <w:rFonts w:asciiTheme="minorHAnsi" w:hAnsiTheme="minorHAnsi" w:cstheme="minorHAnsi"/>
          <w:sz w:val="22"/>
          <w:szCs w:val="22"/>
        </w:rPr>
        <w:tab/>
        <w:t xml:space="preserve">Alexander, S. P. H. </w:t>
      </w:r>
      <w:r w:rsidR="00791726" w:rsidRPr="00417D85">
        <w:rPr>
          <w:rFonts w:asciiTheme="minorHAnsi" w:hAnsiTheme="minorHAnsi" w:cstheme="minorHAnsi"/>
          <w:i/>
          <w:iCs/>
          <w:sz w:val="22"/>
          <w:szCs w:val="22"/>
        </w:rPr>
        <w:t>et al.</w:t>
      </w:r>
      <w:r w:rsidR="00791726" w:rsidRPr="00417D85">
        <w:rPr>
          <w:rFonts w:asciiTheme="minorHAnsi" w:hAnsiTheme="minorHAnsi" w:cstheme="minorHAnsi"/>
          <w:sz w:val="22"/>
          <w:szCs w:val="22"/>
        </w:rPr>
        <w:t xml:space="preserve"> </w:t>
      </w:r>
      <w:r w:rsidR="00791726" w:rsidRPr="00417D85">
        <w:rPr>
          <w:rFonts w:asciiTheme="minorHAnsi" w:hAnsiTheme="minorHAnsi" w:cstheme="minorHAnsi"/>
          <w:sz w:val="22"/>
          <w:szCs w:val="22"/>
          <w:lang w:val="en-US"/>
        </w:rPr>
        <w:t xml:space="preserve">The Concise Guide to PHARMACOLOGY 2025/26: Introduction and Other Protein Targets. </w:t>
      </w:r>
      <w:r w:rsidR="00791726" w:rsidRPr="00417D85">
        <w:rPr>
          <w:rFonts w:asciiTheme="minorHAnsi" w:hAnsiTheme="minorHAnsi" w:cstheme="minorHAnsi"/>
          <w:i/>
          <w:iCs/>
          <w:sz w:val="22"/>
          <w:szCs w:val="22"/>
          <w:lang w:val="en-US"/>
        </w:rPr>
        <w:t xml:space="preserve">Br J </w:t>
      </w:r>
      <w:proofErr w:type="spellStart"/>
      <w:r w:rsidR="00791726" w:rsidRPr="00417D85">
        <w:rPr>
          <w:rFonts w:asciiTheme="minorHAnsi" w:hAnsiTheme="minorHAnsi" w:cstheme="minorHAnsi"/>
          <w:i/>
          <w:iCs/>
          <w:sz w:val="22"/>
          <w:szCs w:val="22"/>
          <w:lang w:val="en-US"/>
        </w:rPr>
        <w:t>Pharmacol</w:t>
      </w:r>
      <w:proofErr w:type="spellEnd"/>
      <w:r w:rsidR="00791726" w:rsidRPr="00417D85">
        <w:rPr>
          <w:rFonts w:asciiTheme="minorHAnsi" w:hAnsiTheme="minorHAnsi" w:cstheme="minorHAnsi"/>
          <w:sz w:val="22"/>
          <w:szCs w:val="22"/>
          <w:lang w:val="en-US"/>
        </w:rPr>
        <w:t xml:space="preserve"> </w:t>
      </w:r>
      <w:r w:rsidR="00791726" w:rsidRPr="00417D85">
        <w:rPr>
          <w:rFonts w:asciiTheme="minorHAnsi" w:hAnsiTheme="minorHAnsi" w:cstheme="minorHAnsi"/>
          <w:b/>
          <w:bCs/>
          <w:sz w:val="22"/>
          <w:szCs w:val="22"/>
          <w:lang w:val="en-US"/>
        </w:rPr>
        <w:t>182 Suppl 1</w:t>
      </w:r>
      <w:r w:rsidR="00791726" w:rsidRPr="00417D85">
        <w:rPr>
          <w:rFonts w:asciiTheme="minorHAnsi" w:hAnsiTheme="minorHAnsi" w:cstheme="minorHAnsi"/>
          <w:sz w:val="22"/>
          <w:szCs w:val="22"/>
          <w:lang w:val="en-US"/>
        </w:rPr>
        <w:t>, S1–S23 (2025).</w:t>
      </w:r>
    </w:p>
    <w:p w14:paraId="4E9D8A42" w14:textId="77777777" w:rsidR="00791726" w:rsidRPr="00417D85" w:rsidRDefault="00791726" w:rsidP="00791726">
      <w:pPr>
        <w:pStyle w:val="Bibliographie"/>
        <w:spacing w:line="240" w:lineRule="auto"/>
        <w:rPr>
          <w:rFonts w:asciiTheme="minorHAnsi" w:hAnsiTheme="minorHAnsi" w:cstheme="minorHAnsi"/>
          <w:sz w:val="22"/>
          <w:szCs w:val="22"/>
          <w:lang w:val="en-US"/>
        </w:rPr>
      </w:pPr>
      <w:r w:rsidRPr="00417D85">
        <w:rPr>
          <w:rFonts w:asciiTheme="minorHAnsi" w:hAnsiTheme="minorHAnsi" w:cstheme="minorHAnsi"/>
          <w:sz w:val="22"/>
          <w:szCs w:val="22"/>
          <w:lang w:val="en-US"/>
        </w:rPr>
        <w:t>2.</w:t>
      </w:r>
      <w:r w:rsidRPr="00417D85">
        <w:rPr>
          <w:rFonts w:asciiTheme="minorHAnsi" w:hAnsiTheme="minorHAnsi" w:cstheme="minorHAnsi"/>
          <w:sz w:val="22"/>
          <w:szCs w:val="22"/>
          <w:lang w:val="en-US"/>
        </w:rPr>
        <w:tab/>
        <w:t xml:space="preserve">Spedding, M. Does Amyotrophic Lateral Sclerosis (ALS) Have Metabolic Causes from Human Evolution? </w:t>
      </w:r>
      <w:r w:rsidRPr="00417D85">
        <w:rPr>
          <w:rFonts w:asciiTheme="minorHAnsi" w:hAnsiTheme="minorHAnsi" w:cstheme="minorHAnsi"/>
          <w:i/>
          <w:iCs/>
          <w:sz w:val="22"/>
          <w:szCs w:val="22"/>
          <w:lang w:val="en-US"/>
        </w:rPr>
        <w:t>Cells</w:t>
      </w:r>
      <w:r w:rsidRPr="00417D85">
        <w:rPr>
          <w:rFonts w:asciiTheme="minorHAnsi" w:hAnsiTheme="minorHAnsi" w:cstheme="minorHAnsi"/>
          <w:sz w:val="22"/>
          <w:szCs w:val="22"/>
          <w:lang w:val="en-US"/>
        </w:rPr>
        <w:t xml:space="preserve"> </w:t>
      </w:r>
      <w:r w:rsidRPr="00417D85">
        <w:rPr>
          <w:rFonts w:asciiTheme="minorHAnsi" w:hAnsiTheme="minorHAnsi" w:cstheme="minorHAnsi"/>
          <w:b/>
          <w:bCs/>
          <w:sz w:val="22"/>
          <w:szCs w:val="22"/>
          <w:lang w:val="en-US"/>
        </w:rPr>
        <w:t>14</w:t>
      </w:r>
      <w:r w:rsidRPr="00417D85">
        <w:rPr>
          <w:rFonts w:asciiTheme="minorHAnsi" w:hAnsiTheme="minorHAnsi" w:cstheme="minorHAnsi"/>
          <w:sz w:val="22"/>
          <w:szCs w:val="22"/>
          <w:lang w:val="en-US"/>
        </w:rPr>
        <w:t>, 1734 (2025).</w:t>
      </w:r>
    </w:p>
    <w:p w14:paraId="0CCDEFEE" w14:textId="77777777" w:rsidR="00791726" w:rsidRPr="00417D85" w:rsidRDefault="00791726" w:rsidP="00791726">
      <w:pPr>
        <w:pStyle w:val="Bibliographie"/>
        <w:spacing w:line="240" w:lineRule="auto"/>
        <w:rPr>
          <w:rFonts w:asciiTheme="minorHAnsi" w:hAnsiTheme="minorHAnsi" w:cstheme="minorHAnsi"/>
          <w:sz w:val="22"/>
          <w:szCs w:val="22"/>
        </w:rPr>
      </w:pPr>
      <w:r w:rsidRPr="00417D85">
        <w:rPr>
          <w:rFonts w:asciiTheme="minorHAnsi" w:hAnsiTheme="minorHAnsi" w:cstheme="minorHAnsi"/>
          <w:sz w:val="22"/>
          <w:szCs w:val="22"/>
          <w:lang w:val="en-US"/>
        </w:rPr>
        <w:t>3.</w:t>
      </w:r>
      <w:r w:rsidRPr="00417D85">
        <w:rPr>
          <w:rFonts w:asciiTheme="minorHAnsi" w:hAnsiTheme="minorHAnsi" w:cstheme="minorHAnsi"/>
          <w:sz w:val="22"/>
          <w:szCs w:val="22"/>
          <w:lang w:val="en-US"/>
        </w:rPr>
        <w:tab/>
        <w:t xml:space="preserve">Spedding, M. </w:t>
      </w:r>
      <w:r w:rsidRPr="00417D85">
        <w:rPr>
          <w:rFonts w:asciiTheme="minorHAnsi" w:hAnsiTheme="minorHAnsi" w:cstheme="minorHAnsi"/>
          <w:i/>
          <w:iCs/>
          <w:sz w:val="22"/>
          <w:szCs w:val="22"/>
          <w:lang w:val="en-US"/>
        </w:rPr>
        <w:t>et al.</w:t>
      </w:r>
      <w:r w:rsidRPr="00417D85">
        <w:rPr>
          <w:rFonts w:asciiTheme="minorHAnsi" w:hAnsiTheme="minorHAnsi" w:cstheme="minorHAnsi"/>
          <w:sz w:val="22"/>
          <w:szCs w:val="22"/>
          <w:lang w:val="en-US"/>
        </w:rPr>
        <w:t xml:space="preserve"> Links between COVID-19, long COVID, and neurodegeneration: The role of glycosphingolipids. </w:t>
      </w:r>
      <w:proofErr w:type="spellStart"/>
      <w:r w:rsidRPr="00417D85">
        <w:rPr>
          <w:rFonts w:asciiTheme="minorHAnsi" w:hAnsiTheme="minorHAnsi" w:cstheme="minorHAnsi"/>
          <w:i/>
          <w:iCs/>
          <w:sz w:val="22"/>
          <w:szCs w:val="22"/>
        </w:rPr>
        <w:t>Pharmacol</w:t>
      </w:r>
      <w:proofErr w:type="spellEnd"/>
      <w:r w:rsidRPr="00417D85">
        <w:rPr>
          <w:rFonts w:asciiTheme="minorHAnsi" w:hAnsiTheme="minorHAnsi" w:cstheme="minorHAnsi"/>
          <w:i/>
          <w:iCs/>
          <w:sz w:val="22"/>
          <w:szCs w:val="22"/>
        </w:rPr>
        <w:t xml:space="preserve"> </w:t>
      </w:r>
      <w:proofErr w:type="spellStart"/>
      <w:r w:rsidRPr="00417D85">
        <w:rPr>
          <w:rFonts w:asciiTheme="minorHAnsi" w:hAnsiTheme="minorHAnsi" w:cstheme="minorHAnsi"/>
          <w:i/>
          <w:iCs/>
          <w:sz w:val="22"/>
          <w:szCs w:val="22"/>
        </w:rPr>
        <w:t>Rev</w:t>
      </w:r>
      <w:proofErr w:type="spellEnd"/>
      <w:r w:rsidRPr="00417D85">
        <w:rPr>
          <w:rFonts w:asciiTheme="minorHAnsi" w:hAnsiTheme="minorHAnsi" w:cstheme="minorHAnsi"/>
          <w:sz w:val="22"/>
          <w:szCs w:val="22"/>
        </w:rPr>
        <w:t xml:space="preserve"> </w:t>
      </w:r>
      <w:r w:rsidRPr="00417D85">
        <w:rPr>
          <w:rFonts w:asciiTheme="minorHAnsi" w:hAnsiTheme="minorHAnsi" w:cstheme="minorHAnsi"/>
          <w:b/>
          <w:bCs/>
          <w:sz w:val="22"/>
          <w:szCs w:val="22"/>
        </w:rPr>
        <w:t>78</w:t>
      </w:r>
      <w:r w:rsidRPr="00417D85">
        <w:rPr>
          <w:rFonts w:asciiTheme="minorHAnsi" w:hAnsiTheme="minorHAnsi" w:cstheme="minorHAnsi"/>
          <w:sz w:val="22"/>
          <w:szCs w:val="22"/>
        </w:rPr>
        <w:t>, 100113 (2026).</w:t>
      </w:r>
    </w:p>
    <w:p w14:paraId="5EAF73E4" w14:textId="35D93AB6" w:rsidR="00641F66" w:rsidRPr="00641F66" w:rsidRDefault="00641F66" w:rsidP="00791726">
      <w:pPr>
        <w:rPr>
          <w:lang w:val="en-US"/>
        </w:rPr>
      </w:pPr>
      <w:r w:rsidRPr="00417D85">
        <w:rPr>
          <w:rFonts w:asciiTheme="minorHAnsi" w:hAnsiTheme="minorHAnsi" w:cstheme="minorHAnsi"/>
          <w:sz w:val="22"/>
          <w:szCs w:val="22"/>
          <w:lang w:val="en-US"/>
        </w:rPr>
        <w:fldChar w:fldCharType="end"/>
      </w:r>
    </w:p>
    <w:sectPr w:rsidR="00641F66" w:rsidRPr="00641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66"/>
    <w:rsid w:val="000C599B"/>
    <w:rsid w:val="000D1E6C"/>
    <w:rsid w:val="00417D85"/>
    <w:rsid w:val="005E2520"/>
    <w:rsid w:val="00641F66"/>
    <w:rsid w:val="00791726"/>
    <w:rsid w:val="007A5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F69A"/>
  <w15:chartTrackingRefBased/>
  <w15:docId w15:val="{9392911D-7BF6-4729-A3F2-0E71C550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66"/>
    <w:pPr>
      <w:spacing w:after="0" w:line="240" w:lineRule="auto"/>
    </w:pPr>
    <w:rPr>
      <w:rFonts w:ascii="Aptos" w:hAnsi="Aptos" w:cs="Calibri"/>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Bibliographie">
    <w:name w:val="Bibliography"/>
    <w:basedOn w:val="Normal"/>
    <w:next w:val="Normal"/>
    <w:uiPriority w:val="37"/>
    <w:unhideWhenUsed/>
    <w:rsid w:val="00641F66"/>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2043</Words>
  <Characters>11237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Spedding</dc:creator>
  <cp:keywords/>
  <dc:description/>
  <cp:lastModifiedBy>Michael Spedding</cp:lastModifiedBy>
  <cp:revision>1</cp:revision>
  <cp:lastPrinted>2026-03-13T13:07:00Z</cp:lastPrinted>
  <dcterms:created xsi:type="dcterms:W3CDTF">2026-03-13T12:36:00Z</dcterms:created>
  <dcterms:modified xsi:type="dcterms:W3CDTF">2026-03-13T13:32:00Z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id="n9rSSM9I"/&gt;&lt;style id="http://www.zotero.org/styles/nature" hasBibliography="1" bibliographyStyleHasBeenSet="1"/&gt;&lt;prefs&gt;&lt;pref name="fieldType" value="Field"/&gt;&lt;/prefs&gt;&lt;/data&gt;</vt:lpwstr>
  </property>
</Properties>
</file>