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3F02" w:rsidRPr="000E7A05" w:rsidRDefault="00B93F02" w:rsidP="00F70327">
      <w:pPr>
        <w:autoSpaceDE w:val="0"/>
        <w:autoSpaceDN w:val="0"/>
        <w:adjustRightInd w:val="0"/>
        <w:rPr>
          <w:rFonts w:ascii="Calibri" w:hAnsi="Calibri" w:cs="Calibri"/>
          <w:b/>
          <w:bCs/>
          <w:kern w:val="0"/>
          <w:sz w:val="20"/>
          <w:szCs w:val="20"/>
          <w:lang w:val="en-US"/>
        </w:rPr>
      </w:pPr>
      <w:r w:rsidRPr="000E7A05">
        <w:rPr>
          <w:rFonts w:ascii="Calibri" w:hAnsi="Calibri" w:cs="Calibri"/>
          <w:b/>
          <w:bCs/>
          <w:kern w:val="0"/>
          <w:sz w:val="20"/>
          <w:szCs w:val="20"/>
          <w:lang w:val="en-US"/>
        </w:rPr>
        <w:t>Boron-Based Topical Strategy for Enhancing Flap Survival:</w:t>
      </w:r>
      <w:r w:rsidR="00F70327" w:rsidRPr="000E7A05">
        <w:rPr>
          <w:rFonts w:ascii="Calibri" w:hAnsi="Calibri" w:cs="Calibri"/>
          <w:b/>
          <w:bCs/>
          <w:kern w:val="0"/>
          <w:sz w:val="20"/>
          <w:szCs w:val="20"/>
          <w:lang w:val="en-US"/>
        </w:rPr>
        <w:t xml:space="preserve"> </w:t>
      </w:r>
      <w:r w:rsidRPr="000E7A05">
        <w:rPr>
          <w:rFonts w:ascii="Calibri" w:hAnsi="Calibri" w:cs="Calibri"/>
          <w:b/>
          <w:bCs/>
          <w:kern w:val="0"/>
          <w:sz w:val="20"/>
          <w:szCs w:val="20"/>
          <w:lang w:val="en-US"/>
        </w:rPr>
        <w:t>Mechanistic Insights Through Proteomic Analysis</w:t>
      </w:r>
    </w:p>
    <w:p w:rsidR="00B93F02" w:rsidRPr="000E7A05" w:rsidRDefault="00B93F02" w:rsidP="00B93F02">
      <w:pPr>
        <w:jc w:val="both"/>
        <w:rPr>
          <w:rFonts w:ascii="Calibri" w:hAnsi="Calibri" w:cs="Calibri"/>
          <w:sz w:val="16"/>
          <w:szCs w:val="16"/>
          <w:lang w:val="en-US"/>
        </w:rPr>
      </w:pPr>
      <w:proofErr w:type="spellStart"/>
      <w:r w:rsidRPr="000E7A05">
        <w:rPr>
          <w:rFonts w:ascii="Calibri" w:hAnsi="Calibri" w:cs="Calibri"/>
          <w:sz w:val="16"/>
          <w:szCs w:val="16"/>
          <w:lang w:val="en-US"/>
        </w:rPr>
        <w:t>Cafer</w:t>
      </w:r>
      <w:proofErr w:type="spellEnd"/>
      <w:r w:rsidRPr="000E7A05">
        <w:rPr>
          <w:rFonts w:ascii="Calibri" w:hAnsi="Calibri" w:cs="Calibri"/>
          <w:sz w:val="16"/>
          <w:szCs w:val="16"/>
          <w:lang w:val="en-US"/>
        </w:rPr>
        <w:t xml:space="preserve"> Yildirim</w:t>
      </w:r>
      <w:r w:rsidRPr="000E7A05">
        <w:rPr>
          <w:rFonts w:ascii="Calibri" w:hAnsi="Calibri" w:cs="Calibri"/>
          <w:sz w:val="16"/>
          <w:szCs w:val="16"/>
          <w:vertAlign w:val="superscript"/>
          <w:lang w:val="en-US"/>
        </w:rPr>
        <w:t>1</w:t>
      </w:r>
      <w:r w:rsidRPr="000E7A05">
        <w:rPr>
          <w:rFonts w:ascii="Calibri" w:hAnsi="Calibri" w:cs="Calibri"/>
          <w:sz w:val="16"/>
          <w:szCs w:val="16"/>
          <w:lang w:val="en-US"/>
        </w:rPr>
        <w:t xml:space="preserve">, </w:t>
      </w:r>
      <w:proofErr w:type="spellStart"/>
      <w:r w:rsidRPr="000E7A05">
        <w:rPr>
          <w:rFonts w:ascii="Calibri" w:hAnsi="Calibri" w:cs="Calibri"/>
          <w:sz w:val="16"/>
          <w:szCs w:val="16"/>
          <w:lang w:val="en-US"/>
        </w:rPr>
        <w:t>Merve</w:t>
      </w:r>
      <w:proofErr w:type="spellEnd"/>
      <w:r w:rsidRPr="000E7A05">
        <w:rPr>
          <w:rFonts w:ascii="Calibri" w:hAnsi="Calibri" w:cs="Calibri"/>
          <w:sz w:val="16"/>
          <w:szCs w:val="16"/>
          <w:lang w:val="en-US"/>
        </w:rPr>
        <w:t xml:space="preserve"> </w:t>
      </w:r>
      <w:proofErr w:type="spellStart"/>
      <w:r w:rsidRPr="000E7A05">
        <w:rPr>
          <w:rFonts w:ascii="Calibri" w:hAnsi="Calibri" w:cs="Calibri"/>
          <w:sz w:val="16"/>
          <w:szCs w:val="16"/>
          <w:lang w:val="en-US"/>
        </w:rPr>
        <w:t>Gulsen</w:t>
      </w:r>
      <w:proofErr w:type="spellEnd"/>
      <w:r w:rsidRPr="000E7A05">
        <w:rPr>
          <w:rFonts w:ascii="Calibri" w:hAnsi="Calibri" w:cs="Calibri"/>
          <w:sz w:val="16"/>
          <w:szCs w:val="16"/>
          <w:lang w:val="en-US"/>
        </w:rPr>
        <w:t xml:space="preserve"> Bal Albayrak</w:t>
      </w:r>
      <w:r w:rsidRPr="000E7A05">
        <w:rPr>
          <w:rFonts w:ascii="Calibri" w:hAnsi="Calibri" w:cs="Calibri"/>
          <w:sz w:val="16"/>
          <w:szCs w:val="16"/>
          <w:vertAlign w:val="superscript"/>
          <w:lang w:val="en-US"/>
        </w:rPr>
        <w:t>2</w:t>
      </w:r>
      <w:r w:rsidRPr="000E7A05">
        <w:rPr>
          <w:rFonts w:ascii="Calibri" w:hAnsi="Calibri" w:cs="Calibri"/>
          <w:sz w:val="16"/>
          <w:szCs w:val="16"/>
          <w:lang w:val="en-US"/>
        </w:rPr>
        <w:t xml:space="preserve">, </w:t>
      </w:r>
      <w:proofErr w:type="spellStart"/>
      <w:r w:rsidRPr="000E7A05">
        <w:rPr>
          <w:rFonts w:ascii="Calibri" w:hAnsi="Calibri" w:cs="Calibri"/>
          <w:sz w:val="16"/>
          <w:szCs w:val="16"/>
          <w:lang w:val="en-US"/>
        </w:rPr>
        <w:t>Sevinc</w:t>
      </w:r>
      <w:proofErr w:type="spellEnd"/>
      <w:r w:rsidRPr="000E7A05">
        <w:rPr>
          <w:rFonts w:ascii="Calibri" w:hAnsi="Calibri" w:cs="Calibri"/>
          <w:sz w:val="16"/>
          <w:szCs w:val="16"/>
          <w:lang w:val="en-US"/>
        </w:rPr>
        <w:t xml:space="preserve"> Yanar</w:t>
      </w:r>
      <w:r w:rsidRPr="000E7A05">
        <w:rPr>
          <w:rFonts w:ascii="Calibri" w:hAnsi="Calibri" w:cs="Calibri"/>
          <w:sz w:val="16"/>
          <w:szCs w:val="16"/>
          <w:vertAlign w:val="superscript"/>
          <w:lang w:val="en-US"/>
        </w:rPr>
        <w:t>3</w:t>
      </w:r>
      <w:r w:rsidRPr="000E7A05">
        <w:rPr>
          <w:rFonts w:ascii="Calibri" w:hAnsi="Calibri" w:cs="Calibri"/>
          <w:sz w:val="16"/>
          <w:szCs w:val="16"/>
          <w:lang w:val="en-US"/>
        </w:rPr>
        <w:t>, Nihal Kayir</w:t>
      </w:r>
      <w:r w:rsidRPr="000E7A05">
        <w:rPr>
          <w:rFonts w:ascii="Calibri" w:hAnsi="Calibri" w:cs="Calibri"/>
          <w:sz w:val="16"/>
          <w:szCs w:val="16"/>
          <w:vertAlign w:val="superscript"/>
          <w:lang w:val="en-US"/>
        </w:rPr>
        <w:t>4</w:t>
      </w:r>
      <w:r w:rsidRPr="000E7A05">
        <w:rPr>
          <w:rFonts w:ascii="Calibri" w:hAnsi="Calibri" w:cs="Calibri"/>
          <w:sz w:val="16"/>
          <w:szCs w:val="16"/>
          <w:lang w:val="en-US"/>
        </w:rPr>
        <w:t xml:space="preserve">, </w:t>
      </w:r>
      <w:proofErr w:type="spellStart"/>
      <w:r w:rsidRPr="000E7A05">
        <w:rPr>
          <w:rFonts w:ascii="Calibri" w:hAnsi="Calibri" w:cs="Calibri"/>
          <w:sz w:val="16"/>
          <w:szCs w:val="16"/>
          <w:lang w:val="en-US"/>
        </w:rPr>
        <w:t>Ayse</w:t>
      </w:r>
      <w:proofErr w:type="spellEnd"/>
      <w:r w:rsidRPr="000E7A05">
        <w:rPr>
          <w:rFonts w:ascii="Calibri" w:hAnsi="Calibri" w:cs="Calibri"/>
          <w:sz w:val="16"/>
          <w:szCs w:val="16"/>
          <w:lang w:val="en-US"/>
        </w:rPr>
        <w:t xml:space="preserve"> </w:t>
      </w:r>
      <w:proofErr w:type="spellStart"/>
      <w:r w:rsidRPr="000E7A05">
        <w:rPr>
          <w:rFonts w:ascii="Calibri" w:hAnsi="Calibri" w:cs="Calibri"/>
          <w:sz w:val="16"/>
          <w:szCs w:val="16"/>
          <w:lang w:val="en-US"/>
        </w:rPr>
        <w:t>Hande</w:t>
      </w:r>
      <w:proofErr w:type="spellEnd"/>
      <w:r w:rsidRPr="000E7A05">
        <w:rPr>
          <w:rFonts w:ascii="Calibri" w:hAnsi="Calibri" w:cs="Calibri"/>
          <w:sz w:val="16"/>
          <w:szCs w:val="16"/>
          <w:lang w:val="en-US"/>
        </w:rPr>
        <w:t xml:space="preserve"> Yozgat</w:t>
      </w:r>
      <w:r w:rsidRPr="000E7A05">
        <w:rPr>
          <w:rFonts w:ascii="Calibri" w:hAnsi="Calibri" w:cs="Calibri"/>
          <w:sz w:val="16"/>
          <w:szCs w:val="16"/>
          <w:vertAlign w:val="superscript"/>
          <w:lang w:val="en-US"/>
        </w:rPr>
        <w:t>5</w:t>
      </w:r>
      <w:r w:rsidRPr="000E7A05">
        <w:rPr>
          <w:rFonts w:ascii="Calibri" w:hAnsi="Calibri" w:cs="Calibri"/>
          <w:sz w:val="16"/>
          <w:szCs w:val="16"/>
          <w:lang w:val="en-US"/>
        </w:rPr>
        <w:t xml:space="preserve">, </w:t>
      </w:r>
      <w:proofErr w:type="spellStart"/>
      <w:r w:rsidRPr="000E7A05">
        <w:rPr>
          <w:rFonts w:ascii="Calibri" w:hAnsi="Calibri" w:cs="Calibri"/>
          <w:sz w:val="16"/>
          <w:szCs w:val="16"/>
          <w:lang w:val="en-US"/>
        </w:rPr>
        <w:t>Sevim</w:t>
      </w:r>
      <w:proofErr w:type="spellEnd"/>
      <w:r w:rsidRPr="000E7A05">
        <w:rPr>
          <w:rFonts w:ascii="Calibri" w:hAnsi="Calibri" w:cs="Calibri"/>
          <w:sz w:val="16"/>
          <w:szCs w:val="16"/>
          <w:lang w:val="en-US"/>
        </w:rPr>
        <w:t xml:space="preserve"> Aydin</w:t>
      </w:r>
      <w:r w:rsidRPr="000E7A05">
        <w:rPr>
          <w:rFonts w:ascii="Calibri" w:hAnsi="Calibri" w:cs="Calibri"/>
          <w:sz w:val="16"/>
          <w:szCs w:val="16"/>
          <w:vertAlign w:val="superscript"/>
          <w:lang w:val="en-US"/>
        </w:rPr>
        <w:t>5</w:t>
      </w:r>
      <w:r w:rsidRPr="000E7A05">
        <w:rPr>
          <w:rFonts w:ascii="Calibri" w:hAnsi="Calibri" w:cs="Calibri"/>
          <w:sz w:val="16"/>
          <w:szCs w:val="16"/>
          <w:lang w:val="en-US"/>
        </w:rPr>
        <w:t xml:space="preserve"> and </w:t>
      </w:r>
      <w:proofErr w:type="spellStart"/>
      <w:r w:rsidRPr="000E7A05">
        <w:rPr>
          <w:rFonts w:ascii="Calibri" w:hAnsi="Calibri" w:cs="Calibri"/>
          <w:sz w:val="16"/>
          <w:szCs w:val="16"/>
          <w:lang w:val="en-US"/>
        </w:rPr>
        <w:t>Fikrettin</w:t>
      </w:r>
      <w:proofErr w:type="spellEnd"/>
      <w:r w:rsidRPr="000E7A05">
        <w:rPr>
          <w:rFonts w:ascii="Calibri" w:hAnsi="Calibri" w:cs="Calibri"/>
          <w:sz w:val="16"/>
          <w:szCs w:val="16"/>
          <w:lang w:val="en-US"/>
        </w:rPr>
        <w:t xml:space="preserve"> Sahin</w:t>
      </w:r>
      <w:r w:rsidRPr="000E7A05">
        <w:rPr>
          <w:rFonts w:ascii="Calibri" w:hAnsi="Calibri" w:cs="Calibri"/>
          <w:sz w:val="16"/>
          <w:szCs w:val="16"/>
          <w:vertAlign w:val="superscript"/>
          <w:lang w:val="en-US"/>
        </w:rPr>
        <w:t>6</w:t>
      </w:r>
      <w:r w:rsidR="0080590B" w:rsidRPr="000E7A05">
        <w:rPr>
          <w:rFonts w:ascii="Calibri" w:hAnsi="Calibri" w:cs="Calibri"/>
          <w:sz w:val="16"/>
          <w:szCs w:val="16"/>
          <w:lang w:val="en-US"/>
        </w:rPr>
        <w:t xml:space="preserve">. </w:t>
      </w:r>
      <w:r w:rsidRPr="000E7A05">
        <w:rPr>
          <w:rFonts w:ascii="Calibri" w:hAnsi="Calibri" w:cs="Calibri"/>
          <w:sz w:val="16"/>
          <w:szCs w:val="16"/>
          <w:lang w:val="en-US"/>
        </w:rPr>
        <w:t>Department of Basic Medical Sciences,</w:t>
      </w:r>
      <w:r w:rsidR="0080590B" w:rsidRPr="000E7A05">
        <w:rPr>
          <w:rFonts w:ascii="Calibri" w:hAnsi="Calibri" w:cs="Calibri"/>
          <w:sz w:val="16"/>
          <w:szCs w:val="16"/>
          <w:lang w:val="en-US"/>
        </w:rPr>
        <w:t xml:space="preserve"> </w:t>
      </w:r>
      <w:r w:rsidRPr="000E7A05">
        <w:rPr>
          <w:rFonts w:ascii="Calibri" w:hAnsi="Calibri" w:cs="Calibri"/>
          <w:sz w:val="16"/>
          <w:szCs w:val="16"/>
          <w:lang w:val="en-US"/>
        </w:rPr>
        <w:t>Ankara University</w:t>
      </w:r>
      <w:r w:rsidR="0080590B" w:rsidRPr="000E7A05">
        <w:rPr>
          <w:rFonts w:ascii="Calibri" w:hAnsi="Calibri" w:cs="Calibri"/>
          <w:sz w:val="16"/>
          <w:szCs w:val="16"/>
          <w:vertAlign w:val="superscript"/>
          <w:lang w:val="en-US"/>
        </w:rPr>
        <w:t>1</w:t>
      </w:r>
      <w:r w:rsidRPr="000E7A05">
        <w:rPr>
          <w:rFonts w:ascii="Calibri" w:hAnsi="Calibri" w:cs="Calibri"/>
          <w:sz w:val="16"/>
          <w:szCs w:val="16"/>
          <w:lang w:val="en-US"/>
        </w:rPr>
        <w:t xml:space="preserve">, Ankara, </w:t>
      </w:r>
      <w:proofErr w:type="spellStart"/>
      <w:r w:rsidR="00F70327" w:rsidRPr="000E7A05">
        <w:rPr>
          <w:rFonts w:ascii="Calibri" w:hAnsi="Calibri" w:cs="Calibri"/>
          <w:sz w:val="16"/>
          <w:szCs w:val="16"/>
          <w:lang w:val="en-US"/>
        </w:rPr>
        <w:t>Turkiye</w:t>
      </w:r>
      <w:proofErr w:type="spellEnd"/>
      <w:r w:rsidRPr="000E7A05">
        <w:rPr>
          <w:rFonts w:ascii="Calibri" w:hAnsi="Calibri" w:cs="Calibri"/>
          <w:sz w:val="16"/>
          <w:szCs w:val="16"/>
          <w:lang w:val="en-US"/>
        </w:rPr>
        <w:t xml:space="preserve">; </w:t>
      </w:r>
      <w:r w:rsidR="0080590B" w:rsidRPr="000E7A05">
        <w:rPr>
          <w:rFonts w:ascii="Calibri" w:hAnsi="Calibri" w:cs="Calibri"/>
          <w:sz w:val="16"/>
          <w:szCs w:val="16"/>
          <w:lang w:val="en-US"/>
        </w:rPr>
        <w:t xml:space="preserve">Department of Molecular Gastroenterology and Hepatology, </w:t>
      </w:r>
      <w:proofErr w:type="spellStart"/>
      <w:r w:rsidR="0080590B" w:rsidRPr="000E7A05">
        <w:rPr>
          <w:rFonts w:ascii="Calibri" w:hAnsi="Calibri" w:cs="Calibri"/>
          <w:sz w:val="16"/>
          <w:szCs w:val="16"/>
          <w:lang w:val="en-US"/>
        </w:rPr>
        <w:t>Kocaeli</w:t>
      </w:r>
      <w:proofErr w:type="spellEnd"/>
      <w:r w:rsidR="0080590B" w:rsidRPr="000E7A05">
        <w:rPr>
          <w:rFonts w:ascii="Calibri" w:hAnsi="Calibri" w:cs="Calibri"/>
          <w:sz w:val="16"/>
          <w:szCs w:val="16"/>
          <w:lang w:val="en-US"/>
        </w:rPr>
        <w:t xml:space="preserve"> University</w:t>
      </w:r>
      <w:r w:rsidR="0080590B" w:rsidRPr="000E7A05">
        <w:rPr>
          <w:rFonts w:ascii="Calibri" w:hAnsi="Calibri" w:cs="Calibri"/>
          <w:sz w:val="16"/>
          <w:szCs w:val="16"/>
          <w:vertAlign w:val="superscript"/>
          <w:lang w:val="en-US"/>
        </w:rPr>
        <w:t>2</w:t>
      </w:r>
      <w:r w:rsidR="0080590B" w:rsidRPr="000E7A05">
        <w:rPr>
          <w:rFonts w:ascii="Calibri" w:hAnsi="Calibri" w:cs="Calibri"/>
          <w:sz w:val="16"/>
          <w:szCs w:val="16"/>
          <w:lang w:val="en-US"/>
        </w:rPr>
        <w:t xml:space="preserve">, </w:t>
      </w:r>
      <w:proofErr w:type="spellStart"/>
      <w:r w:rsidR="0080590B" w:rsidRPr="000E7A05">
        <w:rPr>
          <w:rFonts w:ascii="Calibri" w:hAnsi="Calibri" w:cs="Calibri"/>
          <w:sz w:val="16"/>
          <w:szCs w:val="16"/>
          <w:lang w:val="en-US"/>
        </w:rPr>
        <w:t>Kocaeli</w:t>
      </w:r>
      <w:proofErr w:type="spellEnd"/>
      <w:r w:rsidR="0080590B" w:rsidRPr="000E7A05">
        <w:rPr>
          <w:rFonts w:ascii="Calibri" w:hAnsi="Calibri" w:cs="Calibri"/>
          <w:sz w:val="16"/>
          <w:szCs w:val="16"/>
          <w:lang w:val="en-US"/>
        </w:rPr>
        <w:t xml:space="preserve">, </w:t>
      </w:r>
      <w:proofErr w:type="spellStart"/>
      <w:r w:rsidR="0080590B" w:rsidRPr="000E7A05">
        <w:rPr>
          <w:rFonts w:ascii="Calibri" w:hAnsi="Calibri" w:cs="Calibri"/>
          <w:sz w:val="16"/>
          <w:szCs w:val="16"/>
          <w:lang w:val="en-US"/>
        </w:rPr>
        <w:t>Turkiye</w:t>
      </w:r>
      <w:proofErr w:type="spellEnd"/>
      <w:r w:rsidR="0080590B" w:rsidRPr="000E7A05">
        <w:rPr>
          <w:rFonts w:ascii="Calibri" w:hAnsi="Calibri" w:cs="Calibri"/>
          <w:sz w:val="16"/>
          <w:szCs w:val="16"/>
          <w:lang w:val="en-US"/>
        </w:rPr>
        <w:t xml:space="preserve">; Department of Medical Biology, Ankara Yildirim </w:t>
      </w:r>
      <w:proofErr w:type="spellStart"/>
      <w:r w:rsidR="0080590B" w:rsidRPr="000E7A05">
        <w:rPr>
          <w:rFonts w:ascii="Calibri" w:hAnsi="Calibri" w:cs="Calibri"/>
          <w:sz w:val="16"/>
          <w:szCs w:val="16"/>
          <w:lang w:val="en-US"/>
        </w:rPr>
        <w:t>Beyazit</w:t>
      </w:r>
      <w:proofErr w:type="spellEnd"/>
      <w:r w:rsidR="0080590B" w:rsidRPr="000E7A05">
        <w:rPr>
          <w:rFonts w:ascii="Calibri" w:hAnsi="Calibri" w:cs="Calibri"/>
          <w:sz w:val="16"/>
          <w:szCs w:val="16"/>
          <w:lang w:val="en-US"/>
        </w:rPr>
        <w:t xml:space="preserve"> University</w:t>
      </w:r>
      <w:r w:rsidR="0080590B" w:rsidRPr="000E7A05">
        <w:rPr>
          <w:rFonts w:ascii="Calibri" w:hAnsi="Calibri" w:cs="Calibri"/>
          <w:sz w:val="16"/>
          <w:szCs w:val="16"/>
          <w:vertAlign w:val="superscript"/>
          <w:lang w:val="en-US"/>
        </w:rPr>
        <w:t>3</w:t>
      </w:r>
      <w:r w:rsidR="0080590B" w:rsidRPr="000E7A05">
        <w:rPr>
          <w:rFonts w:ascii="Calibri" w:hAnsi="Calibri" w:cs="Calibri"/>
          <w:sz w:val="16"/>
          <w:szCs w:val="16"/>
          <w:lang w:val="en-US"/>
        </w:rPr>
        <w:t xml:space="preserve">, Ankara, </w:t>
      </w:r>
      <w:proofErr w:type="spellStart"/>
      <w:r w:rsidR="0080590B" w:rsidRPr="000E7A05">
        <w:rPr>
          <w:rFonts w:ascii="Calibri" w:hAnsi="Calibri" w:cs="Calibri"/>
          <w:sz w:val="16"/>
          <w:szCs w:val="16"/>
          <w:lang w:val="en-US"/>
        </w:rPr>
        <w:t>Turkiye</w:t>
      </w:r>
      <w:proofErr w:type="spellEnd"/>
      <w:r w:rsidR="0080590B" w:rsidRPr="000E7A05">
        <w:rPr>
          <w:rFonts w:ascii="Calibri" w:hAnsi="Calibri" w:cs="Calibri"/>
          <w:sz w:val="16"/>
          <w:szCs w:val="16"/>
          <w:lang w:val="en-US"/>
        </w:rPr>
        <w:t xml:space="preserve">; Department of Medical Pharmacology, </w:t>
      </w:r>
      <w:proofErr w:type="spellStart"/>
      <w:r w:rsidR="0080590B" w:rsidRPr="000E7A05">
        <w:rPr>
          <w:rFonts w:ascii="Calibri" w:hAnsi="Calibri" w:cs="Calibri"/>
          <w:sz w:val="16"/>
          <w:szCs w:val="16"/>
          <w:lang w:val="en-US"/>
        </w:rPr>
        <w:t>Medipol</w:t>
      </w:r>
      <w:proofErr w:type="spellEnd"/>
      <w:r w:rsidR="0080590B" w:rsidRPr="000E7A05">
        <w:rPr>
          <w:rFonts w:ascii="Calibri" w:hAnsi="Calibri" w:cs="Calibri"/>
          <w:sz w:val="16"/>
          <w:szCs w:val="16"/>
          <w:lang w:val="en-US"/>
        </w:rPr>
        <w:t xml:space="preserve"> University</w:t>
      </w:r>
      <w:r w:rsidR="0080590B" w:rsidRPr="000E7A05">
        <w:rPr>
          <w:rFonts w:ascii="Calibri" w:hAnsi="Calibri" w:cs="Calibri"/>
          <w:sz w:val="16"/>
          <w:szCs w:val="16"/>
          <w:vertAlign w:val="superscript"/>
          <w:lang w:val="en-US"/>
        </w:rPr>
        <w:t>4</w:t>
      </w:r>
      <w:r w:rsidR="0080590B" w:rsidRPr="000E7A05">
        <w:rPr>
          <w:rFonts w:ascii="Calibri" w:hAnsi="Calibri" w:cs="Calibri"/>
          <w:sz w:val="16"/>
          <w:szCs w:val="16"/>
          <w:lang w:val="en-US"/>
        </w:rPr>
        <w:t xml:space="preserve">, Istanbul, </w:t>
      </w:r>
      <w:proofErr w:type="spellStart"/>
      <w:r w:rsidR="0080590B" w:rsidRPr="000E7A05">
        <w:rPr>
          <w:rFonts w:ascii="Calibri" w:hAnsi="Calibri" w:cs="Calibri"/>
          <w:sz w:val="16"/>
          <w:szCs w:val="16"/>
          <w:lang w:val="en-US"/>
        </w:rPr>
        <w:t>Turkiye</w:t>
      </w:r>
      <w:proofErr w:type="spellEnd"/>
      <w:r w:rsidR="0080590B" w:rsidRPr="000E7A05">
        <w:rPr>
          <w:rFonts w:ascii="Calibri" w:hAnsi="Calibri" w:cs="Calibri"/>
          <w:sz w:val="16"/>
          <w:szCs w:val="16"/>
          <w:lang w:val="en-US"/>
        </w:rPr>
        <w:t xml:space="preserve">; Department of Histology and </w:t>
      </w:r>
      <w:proofErr w:type="gramStart"/>
      <w:r w:rsidR="0080590B" w:rsidRPr="000E7A05">
        <w:rPr>
          <w:rFonts w:ascii="Calibri" w:hAnsi="Calibri" w:cs="Calibri"/>
          <w:sz w:val="16"/>
          <w:szCs w:val="16"/>
          <w:lang w:val="en-US"/>
        </w:rPr>
        <w:t>Embryology,  Ankara</w:t>
      </w:r>
      <w:proofErr w:type="gramEnd"/>
      <w:r w:rsidR="0080590B" w:rsidRPr="000E7A05">
        <w:rPr>
          <w:rFonts w:ascii="Calibri" w:hAnsi="Calibri" w:cs="Calibri"/>
          <w:sz w:val="16"/>
          <w:szCs w:val="16"/>
          <w:lang w:val="en-US"/>
        </w:rPr>
        <w:t xml:space="preserve"> University</w:t>
      </w:r>
      <w:r w:rsidR="0080590B" w:rsidRPr="000E7A05">
        <w:rPr>
          <w:rFonts w:ascii="Calibri" w:hAnsi="Calibri" w:cs="Calibri"/>
          <w:sz w:val="16"/>
          <w:szCs w:val="16"/>
          <w:vertAlign w:val="superscript"/>
          <w:lang w:val="en-US"/>
        </w:rPr>
        <w:t>5</w:t>
      </w:r>
      <w:r w:rsidR="0080590B" w:rsidRPr="000E7A05">
        <w:rPr>
          <w:rFonts w:ascii="Calibri" w:hAnsi="Calibri" w:cs="Calibri"/>
          <w:sz w:val="16"/>
          <w:szCs w:val="16"/>
          <w:lang w:val="en-US"/>
        </w:rPr>
        <w:t xml:space="preserve">, Ankara, </w:t>
      </w:r>
      <w:proofErr w:type="spellStart"/>
      <w:r w:rsidR="0080590B" w:rsidRPr="000E7A05">
        <w:rPr>
          <w:rFonts w:ascii="Calibri" w:hAnsi="Calibri" w:cs="Calibri"/>
          <w:sz w:val="16"/>
          <w:szCs w:val="16"/>
          <w:lang w:val="en-US"/>
        </w:rPr>
        <w:t>Turkiye</w:t>
      </w:r>
      <w:proofErr w:type="spellEnd"/>
      <w:r w:rsidR="0080590B" w:rsidRPr="000E7A05">
        <w:rPr>
          <w:rFonts w:ascii="Calibri" w:hAnsi="Calibri" w:cs="Calibri"/>
          <w:sz w:val="16"/>
          <w:szCs w:val="16"/>
          <w:lang w:val="en-US"/>
        </w:rPr>
        <w:t>; Department of Genetics and Bioengineering, Yeditepe</w:t>
      </w:r>
      <w:r w:rsidR="0080590B" w:rsidRPr="000E7A05">
        <w:rPr>
          <w:rFonts w:ascii="Calibri" w:hAnsi="Calibri" w:cs="Calibri"/>
          <w:sz w:val="16"/>
          <w:szCs w:val="16"/>
          <w:vertAlign w:val="superscript"/>
          <w:lang w:val="en-US"/>
        </w:rPr>
        <w:t>6</w:t>
      </w:r>
      <w:r w:rsidR="0080590B" w:rsidRPr="000E7A05">
        <w:rPr>
          <w:rFonts w:ascii="Calibri" w:hAnsi="Calibri" w:cs="Calibri"/>
          <w:sz w:val="16"/>
          <w:szCs w:val="16"/>
          <w:lang w:val="en-US"/>
        </w:rPr>
        <w:t xml:space="preserve"> University, Istanbul, </w:t>
      </w:r>
      <w:proofErr w:type="spellStart"/>
      <w:r w:rsidR="0080590B" w:rsidRPr="000E7A05">
        <w:rPr>
          <w:rFonts w:ascii="Calibri" w:hAnsi="Calibri" w:cs="Calibri"/>
          <w:sz w:val="16"/>
          <w:szCs w:val="16"/>
          <w:lang w:val="en-US"/>
        </w:rPr>
        <w:t>Turkiye</w:t>
      </w:r>
      <w:proofErr w:type="spellEnd"/>
    </w:p>
    <w:p w:rsidR="00F56EC0" w:rsidRPr="000E7A05" w:rsidRDefault="00F70327" w:rsidP="00B93F02">
      <w:pPr>
        <w:jc w:val="both"/>
        <w:rPr>
          <w:sz w:val="20"/>
          <w:szCs w:val="20"/>
          <w:lang w:val="en-US"/>
        </w:rPr>
      </w:pPr>
      <w:r w:rsidRPr="000E7A05">
        <w:rPr>
          <w:b/>
          <w:bCs/>
          <w:sz w:val="20"/>
          <w:szCs w:val="20"/>
          <w:lang w:val="en-US"/>
        </w:rPr>
        <w:t>Introduction:</w:t>
      </w:r>
      <w:r w:rsidR="008E010B" w:rsidRPr="000E7A05">
        <w:rPr>
          <w:sz w:val="20"/>
          <w:szCs w:val="20"/>
          <w:lang w:val="en-US"/>
        </w:rPr>
        <w:t xml:space="preserve"> </w:t>
      </w:r>
      <w:r w:rsidR="00F56EC0" w:rsidRPr="000E7A05">
        <w:rPr>
          <w:sz w:val="20"/>
          <w:szCs w:val="20"/>
          <w:lang w:val="en-US"/>
        </w:rPr>
        <w:t>Flap survival is often compromised by ischemia–reperfusion injury, oxidative stress, and inadequate angiogenesis, leading to distal necrosis in 20–80% of experimental models and 10–25% of clinical cases. Although various pro-angiogenic and antioxidant therapies have been explored, clinical translation remains limited. Boron has shown promise as a modulator of inflammatory and angiogenic pathways, enhancing fibroblast activity and VEGF expression in wound models; however, boron-containing hydrogels have not yet been evaluated in flap ischemia models, highlighting an important translational gap (1,2).</w:t>
      </w:r>
    </w:p>
    <w:p w:rsidR="00F70327" w:rsidRPr="000E7A05" w:rsidRDefault="00F70327" w:rsidP="00B93F02">
      <w:pPr>
        <w:jc w:val="both"/>
        <w:rPr>
          <w:sz w:val="20"/>
          <w:szCs w:val="20"/>
          <w:lang w:val="en-US"/>
        </w:rPr>
      </w:pPr>
      <w:r w:rsidRPr="000E7A05">
        <w:rPr>
          <w:b/>
          <w:bCs/>
          <w:sz w:val="20"/>
          <w:szCs w:val="20"/>
          <w:lang w:val="en-US"/>
        </w:rPr>
        <w:t>Aims</w:t>
      </w:r>
      <w:r w:rsidR="001A1889" w:rsidRPr="000E7A05">
        <w:rPr>
          <w:b/>
          <w:bCs/>
          <w:sz w:val="20"/>
          <w:szCs w:val="20"/>
          <w:lang w:val="en-US"/>
        </w:rPr>
        <w:t>.</w:t>
      </w:r>
      <w:r w:rsidR="001A1889" w:rsidRPr="000E7A05">
        <w:rPr>
          <w:sz w:val="20"/>
          <w:szCs w:val="20"/>
          <w:lang w:val="en-US"/>
        </w:rPr>
        <w:t xml:space="preserve"> </w:t>
      </w:r>
      <w:r w:rsidR="008E010B" w:rsidRPr="000E7A05">
        <w:rPr>
          <w:sz w:val="20"/>
          <w:szCs w:val="20"/>
          <w:lang w:val="en-US"/>
        </w:rPr>
        <w:t xml:space="preserve">This study aimed to evaluate the therapeutic efficacy of a sodium </w:t>
      </w:r>
      <w:proofErr w:type="spellStart"/>
      <w:r w:rsidR="008E010B" w:rsidRPr="000E7A05">
        <w:rPr>
          <w:sz w:val="20"/>
          <w:szCs w:val="20"/>
          <w:lang w:val="en-US"/>
        </w:rPr>
        <w:t>pentaborate</w:t>
      </w:r>
      <w:proofErr w:type="spellEnd"/>
      <w:r w:rsidR="008E010B" w:rsidRPr="000E7A05">
        <w:rPr>
          <w:sz w:val="20"/>
          <w:szCs w:val="20"/>
          <w:lang w:val="en-US"/>
        </w:rPr>
        <w:t xml:space="preserve"> pentahydrate (SPP)-containing hydrogel in a rat flap model by assessing its effects on angiogenesis, inflammation, extracellular matrix organization, and molecular signaling through histological and proteomic analyses.</w:t>
      </w:r>
    </w:p>
    <w:p w:rsidR="008E010B" w:rsidRPr="000E7A05" w:rsidRDefault="00F70327" w:rsidP="007317F6">
      <w:pPr>
        <w:jc w:val="both"/>
        <w:rPr>
          <w:sz w:val="20"/>
          <w:szCs w:val="20"/>
          <w:lang w:val="en-US"/>
        </w:rPr>
      </w:pPr>
      <w:r w:rsidRPr="000E7A05">
        <w:rPr>
          <w:b/>
          <w:bCs/>
          <w:sz w:val="20"/>
          <w:szCs w:val="20"/>
          <w:lang w:val="en-US"/>
        </w:rPr>
        <w:t>Methods:</w:t>
      </w:r>
      <w:r w:rsidR="001A1889" w:rsidRPr="000E7A05">
        <w:rPr>
          <w:sz w:val="20"/>
          <w:szCs w:val="20"/>
          <w:lang w:val="en-US"/>
        </w:rPr>
        <w:t xml:space="preserve"> </w:t>
      </w:r>
      <w:r w:rsidR="007317F6" w:rsidRPr="000E7A05">
        <w:rPr>
          <w:sz w:val="20"/>
          <w:szCs w:val="20"/>
          <w:lang w:val="en-US"/>
        </w:rPr>
        <w:t>The rats were randomly assigned to two groups (n = 8 per group): control and DBP-treated. Rats were</w:t>
      </w:r>
      <w:r w:rsidR="001A1889" w:rsidRPr="000E7A05">
        <w:rPr>
          <w:sz w:val="20"/>
          <w:szCs w:val="20"/>
          <w:lang w:val="en-US"/>
        </w:rPr>
        <w:t xml:space="preserve"> </w:t>
      </w:r>
      <w:r w:rsidR="007317F6" w:rsidRPr="000E7A05">
        <w:rPr>
          <w:sz w:val="20"/>
          <w:szCs w:val="20"/>
          <w:lang w:val="en-US"/>
        </w:rPr>
        <w:t xml:space="preserve">given anesthesia combination of 5 mg/kg xylazine hydrochloride and 50 mg/kg ketamine hydrochloride. </w:t>
      </w:r>
      <w:r w:rsidR="0080590B" w:rsidRPr="000E7A05">
        <w:rPr>
          <w:sz w:val="20"/>
          <w:szCs w:val="20"/>
          <w:lang w:val="en-US"/>
        </w:rPr>
        <w:t>A</w:t>
      </w:r>
      <w:r w:rsidR="008E010B" w:rsidRPr="000E7A05">
        <w:rPr>
          <w:sz w:val="20"/>
          <w:szCs w:val="20"/>
          <w:lang w:val="en-US"/>
        </w:rPr>
        <w:t xml:space="preserve"> dorsal flap model was established in male Wistar rats, which were treated topically with an SPP-containing formulation </w:t>
      </w:r>
      <w:r w:rsidR="008E010B" w:rsidRPr="000E7A05">
        <w:rPr>
          <w:sz w:val="20"/>
          <w:szCs w:val="20"/>
          <w:lang w:val="en-US"/>
        </w:rPr>
        <w:lastRenderedPageBreak/>
        <w:t xml:space="preserve">twice daily for seven days. Histological changes were evaluated using </w:t>
      </w:r>
      <w:r w:rsidR="00487549" w:rsidRPr="000E7A05">
        <w:rPr>
          <w:sz w:val="20"/>
          <w:szCs w:val="20"/>
          <w:lang w:val="en-US"/>
        </w:rPr>
        <w:t>H&amp;E</w:t>
      </w:r>
      <w:r w:rsidR="008E010B" w:rsidRPr="000E7A05">
        <w:rPr>
          <w:sz w:val="20"/>
          <w:szCs w:val="20"/>
          <w:lang w:val="en-US"/>
        </w:rPr>
        <w:t xml:space="preserve"> and </w:t>
      </w:r>
      <w:r w:rsidR="00487549" w:rsidRPr="000E7A05">
        <w:rPr>
          <w:sz w:val="20"/>
          <w:szCs w:val="20"/>
          <w:lang w:val="en-US"/>
        </w:rPr>
        <w:t>M&amp;T</w:t>
      </w:r>
      <w:r w:rsidR="008E010B" w:rsidRPr="000E7A05">
        <w:rPr>
          <w:sz w:val="20"/>
          <w:szCs w:val="20"/>
          <w:lang w:val="en-US"/>
        </w:rPr>
        <w:t xml:space="preserve"> staining, and proteomic alterations were analyzed using label-free </w:t>
      </w:r>
      <w:r w:rsidR="00F56EC0" w:rsidRPr="000E7A05">
        <w:rPr>
          <w:sz w:val="20"/>
          <w:szCs w:val="20"/>
          <w:lang w:val="en-US"/>
        </w:rPr>
        <w:drawing>
          <wp:anchor distT="0" distB="0" distL="114300" distR="114300" simplePos="0" relativeHeight="251658240" behindDoc="0" locked="0" layoutInCell="1" allowOverlap="1" wp14:anchorId="24834C33">
            <wp:simplePos x="0" y="0"/>
            <wp:positionH relativeFrom="margin">
              <wp:posOffset>-6350</wp:posOffset>
            </wp:positionH>
            <wp:positionV relativeFrom="margin">
              <wp:posOffset>237490</wp:posOffset>
            </wp:positionV>
            <wp:extent cx="2491740" cy="1320165"/>
            <wp:effectExtent l="0" t="0" r="0" b="635"/>
            <wp:wrapSquare wrapText="bothSides"/>
            <wp:docPr id="211159347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93477"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1740" cy="1320165"/>
                    </a:xfrm>
                    <a:prstGeom prst="rect">
                      <a:avLst/>
                    </a:prstGeom>
                  </pic:spPr>
                </pic:pic>
              </a:graphicData>
            </a:graphic>
            <wp14:sizeRelH relativeFrom="margin">
              <wp14:pctWidth>0</wp14:pctWidth>
            </wp14:sizeRelH>
            <wp14:sizeRelV relativeFrom="margin">
              <wp14:pctHeight>0</wp14:pctHeight>
            </wp14:sizeRelV>
          </wp:anchor>
        </w:drawing>
      </w:r>
      <w:r w:rsidR="008E010B" w:rsidRPr="000E7A05">
        <w:rPr>
          <w:sz w:val="20"/>
          <w:szCs w:val="20"/>
          <w:lang w:val="en-US"/>
        </w:rPr>
        <w:t>nano</w:t>
      </w:r>
      <w:r w:rsidR="0080590B" w:rsidRPr="000E7A05">
        <w:rPr>
          <w:sz w:val="20"/>
          <w:szCs w:val="20"/>
          <w:lang w:val="en-US"/>
        </w:rPr>
        <w:t xml:space="preserve"> </w:t>
      </w:r>
      <w:r w:rsidR="008E010B" w:rsidRPr="000E7A05">
        <w:rPr>
          <w:sz w:val="20"/>
          <w:szCs w:val="20"/>
          <w:lang w:val="en-US"/>
        </w:rPr>
        <w:t>LC-MS/MS followed by bioinformatics analysis.</w:t>
      </w:r>
    </w:p>
    <w:p w:rsidR="00487549" w:rsidRPr="000E7A05" w:rsidRDefault="00F70327" w:rsidP="00487549">
      <w:pPr>
        <w:jc w:val="both"/>
        <w:rPr>
          <w:sz w:val="20"/>
          <w:szCs w:val="20"/>
          <w:lang w:val="en-US"/>
        </w:rPr>
      </w:pPr>
      <w:r w:rsidRPr="000E7A05">
        <w:rPr>
          <w:b/>
          <w:bCs/>
          <w:sz w:val="20"/>
          <w:szCs w:val="20"/>
          <w:lang w:val="en-US"/>
        </w:rPr>
        <w:t>Results:</w:t>
      </w:r>
      <w:r w:rsidR="008E010B" w:rsidRPr="000E7A05">
        <w:rPr>
          <w:sz w:val="20"/>
          <w:szCs w:val="20"/>
          <w:lang w:val="en-US"/>
        </w:rPr>
        <w:t xml:space="preserve"> </w:t>
      </w:r>
      <w:r w:rsidR="00487549" w:rsidRPr="000E7A05">
        <w:rPr>
          <w:sz w:val="20"/>
          <w:szCs w:val="20"/>
          <w:lang w:val="en-US"/>
        </w:rPr>
        <w:t>Treatment significantly improved flap survival (p&lt; 0.0001), enhanced granulation tissue formation, promoted organized collagen deposition, and reduced inflammation. Proteomic analysis identified 179 differentially expressed proteins (14 upregulated, 165 downregulated); enriched pathways indicated activation of complement, antioxidant, and extracellular matrix remodeling processes, alongside suppression of immune overactivation and cellular stress, suggesting a shift toward controlled inflammation and tissue homeostasis. To our knowledge, this is the first study demonstrating that an SPP-containing hydrogel enhances flap healing by promoting vascularization, modulating immune responses, and supporting matrix remodeling, highlighting its potential in reconstructive surgery.</w:t>
      </w:r>
    </w:p>
    <w:p w:rsidR="00F56EC0" w:rsidRPr="000E7A05" w:rsidRDefault="007317F6" w:rsidP="005C14ED">
      <w:pPr>
        <w:jc w:val="both"/>
        <w:rPr>
          <w:sz w:val="20"/>
          <w:szCs w:val="20"/>
          <w:lang w:val="en-US"/>
        </w:rPr>
      </w:pPr>
      <w:r w:rsidRPr="000E7A05">
        <w:rPr>
          <w:b/>
          <w:bCs/>
          <w:sz w:val="20"/>
          <w:szCs w:val="20"/>
          <w:lang w:val="en-US"/>
        </w:rPr>
        <w:t>Discussion.</w:t>
      </w:r>
      <w:r w:rsidRPr="000E7A05">
        <w:rPr>
          <w:sz w:val="20"/>
          <w:szCs w:val="20"/>
          <w:lang w:val="en-US"/>
        </w:rPr>
        <w:t xml:space="preserve"> </w:t>
      </w:r>
      <w:r w:rsidR="001A1889" w:rsidRPr="000E7A05">
        <w:rPr>
          <w:sz w:val="20"/>
          <w:szCs w:val="20"/>
          <w:lang w:val="en-US"/>
        </w:rPr>
        <w:t>The present findings are consistent with previous experimental and clinical studies reporting that boron-containing hydrogels enhance angiogenesis, fibroblast activity, and collagen synthesis, supporting improved tissue regeneration in various wound models. Moreover, our proteomic data suggest that DBP promotes flap healing by suppressing excessive inflammatory and IFN-γ–related responses while reinforcing antioxidant and coagulation pathways, aligning with earlier reports highlighting boron’s immunomodulatory and oxidative stress–regulating effects</w:t>
      </w:r>
      <w:r w:rsidR="00F56EC0" w:rsidRPr="000E7A05">
        <w:rPr>
          <w:sz w:val="20"/>
          <w:szCs w:val="20"/>
          <w:lang w:val="en-US"/>
        </w:rPr>
        <w:t>.</w:t>
      </w:r>
    </w:p>
    <w:p w:rsidR="007317F6" w:rsidRPr="000E7A05" w:rsidRDefault="000D3ADE" w:rsidP="005C14ED">
      <w:pPr>
        <w:jc w:val="both"/>
        <w:rPr>
          <w:sz w:val="11"/>
          <w:szCs w:val="11"/>
          <w:lang w:val="en-US"/>
        </w:rPr>
      </w:pPr>
      <w:r w:rsidRPr="000E7A05">
        <w:rPr>
          <w:sz w:val="11"/>
          <w:szCs w:val="11"/>
          <w:lang w:val="en-US"/>
        </w:rPr>
        <w:t>References</w:t>
      </w:r>
    </w:p>
    <w:p w:rsidR="005C14ED" w:rsidRPr="000E7A05" w:rsidRDefault="005C14ED" w:rsidP="007317F6">
      <w:pPr>
        <w:pStyle w:val="ListeParagraf"/>
        <w:numPr>
          <w:ilvl w:val="0"/>
          <w:numId w:val="1"/>
        </w:numPr>
        <w:jc w:val="both"/>
        <w:rPr>
          <w:rFonts w:ascii="Calibri" w:hAnsi="Calibri" w:cs="Calibri"/>
          <w:kern w:val="0"/>
          <w:sz w:val="11"/>
          <w:szCs w:val="11"/>
          <w:lang w:val="en-US"/>
        </w:rPr>
      </w:pPr>
      <w:r w:rsidRPr="000E7A05">
        <w:rPr>
          <w:rFonts w:ascii="Calibri" w:hAnsi="Calibri" w:cs="Calibri"/>
          <w:kern w:val="0"/>
          <w:sz w:val="11"/>
          <w:szCs w:val="11"/>
          <w:lang w:val="en-US"/>
        </w:rPr>
        <w:t xml:space="preserve">Liu, H.; Zhang, M.; Dong, X.; Liu, Y.; Hao, Y.; Wang, Y. Necrostatin-1 Protects against Ischemia/Reperfusion Injury by Inhibiting Receptor-Interacting Protein 1 in a Rat Flap Model. J. </w:t>
      </w:r>
      <w:proofErr w:type="spellStart"/>
      <w:r w:rsidRPr="000E7A05">
        <w:rPr>
          <w:rFonts w:ascii="Calibri" w:hAnsi="Calibri" w:cs="Calibri"/>
          <w:kern w:val="0"/>
          <w:sz w:val="11"/>
          <w:szCs w:val="11"/>
          <w:lang w:val="en-US"/>
        </w:rPr>
        <w:t>Plast</w:t>
      </w:r>
      <w:proofErr w:type="spellEnd"/>
      <w:r w:rsidRPr="000E7A05">
        <w:rPr>
          <w:rFonts w:ascii="Calibri" w:hAnsi="Calibri" w:cs="Calibri"/>
          <w:kern w:val="0"/>
          <w:sz w:val="11"/>
          <w:szCs w:val="11"/>
          <w:lang w:val="en-US"/>
        </w:rPr>
        <w:t xml:space="preserve">. </w:t>
      </w:r>
      <w:proofErr w:type="spellStart"/>
      <w:r w:rsidRPr="000E7A05">
        <w:rPr>
          <w:rFonts w:ascii="Calibri" w:hAnsi="Calibri" w:cs="Calibri"/>
          <w:kern w:val="0"/>
          <w:sz w:val="11"/>
          <w:szCs w:val="11"/>
          <w:lang w:val="en-US"/>
        </w:rPr>
        <w:t>Reconstr</w:t>
      </w:r>
      <w:proofErr w:type="spellEnd"/>
      <w:r w:rsidRPr="000E7A05">
        <w:rPr>
          <w:rFonts w:ascii="Calibri" w:hAnsi="Calibri" w:cs="Calibri"/>
          <w:kern w:val="0"/>
          <w:sz w:val="11"/>
          <w:szCs w:val="11"/>
          <w:lang w:val="en-US"/>
        </w:rPr>
        <w:t>. Aesthetic Surg. 2019, 72, 194–202.</w:t>
      </w:r>
    </w:p>
    <w:p w:rsidR="005C14ED" w:rsidRPr="000E7A05" w:rsidRDefault="005C14ED" w:rsidP="005C14ED">
      <w:pPr>
        <w:pStyle w:val="ListeParagraf"/>
        <w:numPr>
          <w:ilvl w:val="0"/>
          <w:numId w:val="1"/>
        </w:numPr>
        <w:jc w:val="both"/>
        <w:rPr>
          <w:sz w:val="11"/>
          <w:szCs w:val="11"/>
          <w:lang w:val="en-US"/>
        </w:rPr>
      </w:pPr>
      <w:r w:rsidRPr="000E7A05">
        <w:rPr>
          <w:sz w:val="11"/>
          <w:szCs w:val="11"/>
          <w:lang w:val="en-US"/>
        </w:rPr>
        <w:t>Zhou, T.; Wang, X.; Wang, K.; Lin, Y.; Meng, Z.; Lan, Q.; Jiang, Z.; Chen, J.; Lin, Y.; Liu, X.; et al. Activation of Aldehyde</w:t>
      </w:r>
      <w:r w:rsidR="007317F6" w:rsidRPr="000E7A05">
        <w:rPr>
          <w:sz w:val="11"/>
          <w:szCs w:val="11"/>
          <w:lang w:val="en-US"/>
        </w:rPr>
        <w:t xml:space="preserve"> </w:t>
      </w:r>
      <w:r w:rsidRPr="000E7A05">
        <w:rPr>
          <w:sz w:val="11"/>
          <w:szCs w:val="11"/>
          <w:lang w:val="en-US"/>
        </w:rPr>
        <w:t>Dehydrogenase-2 Improves Ischemic Random Skin Flap Survival in Rats. Front. Immunol. 2023, 14, 1127610.</w:t>
      </w:r>
    </w:p>
    <w:sectPr w:rsidR="005C14ED" w:rsidRPr="000E7A05" w:rsidSect="00F70327">
      <w:pgSz w:w="11906" w:h="8391"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5AD1"/>
    <w:multiLevelType w:val="hybridMultilevel"/>
    <w:tmpl w:val="956E0BC0"/>
    <w:lvl w:ilvl="0" w:tplc="EBA23D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7034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02"/>
    <w:rsid w:val="000D3ADE"/>
    <w:rsid w:val="000E7A05"/>
    <w:rsid w:val="001A1889"/>
    <w:rsid w:val="00226B47"/>
    <w:rsid w:val="0023763F"/>
    <w:rsid w:val="002E7074"/>
    <w:rsid w:val="00487549"/>
    <w:rsid w:val="0059050C"/>
    <w:rsid w:val="005C14ED"/>
    <w:rsid w:val="007317F6"/>
    <w:rsid w:val="0080590B"/>
    <w:rsid w:val="00855435"/>
    <w:rsid w:val="008E010B"/>
    <w:rsid w:val="00B93F02"/>
    <w:rsid w:val="00D7696C"/>
    <w:rsid w:val="00DB25A2"/>
    <w:rsid w:val="00F56EC0"/>
    <w:rsid w:val="00F70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30B6"/>
  <w15:chartTrackingRefBased/>
  <w15:docId w15:val="{FF34B0A2-EBBA-0746-9ECB-18E37E30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93F02"/>
    <w:rPr>
      <w:color w:val="0563C1" w:themeColor="hyperlink"/>
      <w:u w:val="single"/>
    </w:rPr>
  </w:style>
  <w:style w:type="character" w:styleId="zmlenmeyenBahsetme">
    <w:name w:val="Unresolved Mention"/>
    <w:basedOn w:val="VarsaylanParagrafYazTipi"/>
    <w:uiPriority w:val="99"/>
    <w:semiHidden/>
    <w:unhideWhenUsed/>
    <w:rsid w:val="00B93F02"/>
    <w:rPr>
      <w:color w:val="605E5C"/>
      <w:shd w:val="clear" w:color="auto" w:fill="E1DFDD"/>
    </w:rPr>
  </w:style>
  <w:style w:type="character" w:styleId="zlenenKpr">
    <w:name w:val="FollowedHyperlink"/>
    <w:basedOn w:val="VarsaylanParagrafYazTipi"/>
    <w:uiPriority w:val="99"/>
    <w:semiHidden/>
    <w:unhideWhenUsed/>
    <w:rsid w:val="00B93F02"/>
    <w:rPr>
      <w:color w:val="954F72" w:themeColor="followedHyperlink"/>
      <w:u w:val="single"/>
    </w:rPr>
  </w:style>
  <w:style w:type="paragraph" w:styleId="ListeParagraf">
    <w:name w:val="List Paragraph"/>
    <w:basedOn w:val="Normal"/>
    <w:uiPriority w:val="34"/>
    <w:qFormat/>
    <w:rsid w:val="007317F6"/>
    <w:pPr>
      <w:ind w:left="720"/>
      <w:contextualSpacing/>
    </w:pPr>
  </w:style>
  <w:style w:type="paragraph" w:styleId="NormalWeb">
    <w:name w:val="Normal (Web)"/>
    <w:basedOn w:val="Normal"/>
    <w:uiPriority w:val="99"/>
    <w:semiHidden/>
    <w:unhideWhenUsed/>
    <w:rsid w:val="004875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79516">
      <w:bodyDiv w:val="1"/>
      <w:marLeft w:val="0"/>
      <w:marRight w:val="0"/>
      <w:marTop w:val="0"/>
      <w:marBottom w:val="0"/>
      <w:divBdr>
        <w:top w:val="none" w:sz="0" w:space="0" w:color="auto"/>
        <w:left w:val="none" w:sz="0" w:space="0" w:color="auto"/>
        <w:bottom w:val="none" w:sz="0" w:space="0" w:color="auto"/>
        <w:right w:val="none" w:sz="0" w:space="0" w:color="auto"/>
      </w:divBdr>
      <w:divsChild>
        <w:div w:id="815030112">
          <w:marLeft w:val="0"/>
          <w:marRight w:val="0"/>
          <w:marTop w:val="0"/>
          <w:marBottom w:val="0"/>
          <w:divBdr>
            <w:top w:val="none" w:sz="0" w:space="0" w:color="auto"/>
            <w:left w:val="none" w:sz="0" w:space="0" w:color="auto"/>
            <w:bottom w:val="none" w:sz="0" w:space="0" w:color="auto"/>
            <w:right w:val="none" w:sz="0" w:space="0" w:color="auto"/>
          </w:divBdr>
          <w:divsChild>
            <w:div w:id="1531337155">
              <w:marLeft w:val="0"/>
              <w:marRight w:val="0"/>
              <w:marTop w:val="0"/>
              <w:marBottom w:val="0"/>
              <w:divBdr>
                <w:top w:val="none" w:sz="0" w:space="0" w:color="auto"/>
                <w:left w:val="none" w:sz="0" w:space="0" w:color="auto"/>
                <w:bottom w:val="none" w:sz="0" w:space="0" w:color="auto"/>
                <w:right w:val="none" w:sz="0" w:space="0" w:color="auto"/>
              </w:divBdr>
              <w:divsChild>
                <w:div w:id="1452433670">
                  <w:marLeft w:val="0"/>
                  <w:marRight w:val="0"/>
                  <w:marTop w:val="0"/>
                  <w:marBottom w:val="0"/>
                  <w:divBdr>
                    <w:top w:val="none" w:sz="0" w:space="0" w:color="auto"/>
                    <w:left w:val="none" w:sz="0" w:space="0" w:color="auto"/>
                    <w:bottom w:val="none" w:sz="0" w:space="0" w:color="auto"/>
                    <w:right w:val="none" w:sz="0" w:space="0" w:color="auto"/>
                  </w:divBdr>
                  <w:divsChild>
                    <w:div w:id="854928149">
                      <w:marLeft w:val="0"/>
                      <w:marRight w:val="0"/>
                      <w:marTop w:val="0"/>
                      <w:marBottom w:val="0"/>
                      <w:divBdr>
                        <w:top w:val="none" w:sz="0" w:space="0" w:color="auto"/>
                        <w:left w:val="none" w:sz="0" w:space="0" w:color="auto"/>
                        <w:bottom w:val="none" w:sz="0" w:space="0" w:color="auto"/>
                        <w:right w:val="none" w:sz="0" w:space="0" w:color="auto"/>
                      </w:divBdr>
                      <w:divsChild>
                        <w:div w:id="2001959442">
                          <w:marLeft w:val="0"/>
                          <w:marRight w:val="0"/>
                          <w:marTop w:val="0"/>
                          <w:marBottom w:val="0"/>
                          <w:divBdr>
                            <w:top w:val="none" w:sz="0" w:space="0" w:color="auto"/>
                            <w:left w:val="none" w:sz="0" w:space="0" w:color="auto"/>
                            <w:bottom w:val="none" w:sz="0" w:space="0" w:color="auto"/>
                            <w:right w:val="none" w:sz="0" w:space="0" w:color="auto"/>
                          </w:divBdr>
                          <w:divsChild>
                            <w:div w:id="8416353">
                              <w:marLeft w:val="0"/>
                              <w:marRight w:val="0"/>
                              <w:marTop w:val="0"/>
                              <w:marBottom w:val="0"/>
                              <w:divBdr>
                                <w:top w:val="none" w:sz="0" w:space="0" w:color="auto"/>
                                <w:left w:val="none" w:sz="0" w:space="0" w:color="auto"/>
                                <w:bottom w:val="none" w:sz="0" w:space="0" w:color="auto"/>
                                <w:right w:val="none" w:sz="0" w:space="0" w:color="auto"/>
                              </w:divBdr>
                              <w:divsChild>
                                <w:div w:id="15697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4965">
      <w:bodyDiv w:val="1"/>
      <w:marLeft w:val="0"/>
      <w:marRight w:val="0"/>
      <w:marTop w:val="0"/>
      <w:marBottom w:val="0"/>
      <w:divBdr>
        <w:top w:val="none" w:sz="0" w:space="0" w:color="auto"/>
        <w:left w:val="none" w:sz="0" w:space="0" w:color="auto"/>
        <w:bottom w:val="none" w:sz="0" w:space="0" w:color="auto"/>
        <w:right w:val="none" w:sz="0" w:space="0" w:color="auto"/>
      </w:divBdr>
      <w:divsChild>
        <w:div w:id="1272585282">
          <w:marLeft w:val="0"/>
          <w:marRight w:val="0"/>
          <w:marTop w:val="0"/>
          <w:marBottom w:val="0"/>
          <w:divBdr>
            <w:top w:val="none" w:sz="0" w:space="0" w:color="auto"/>
            <w:left w:val="none" w:sz="0" w:space="0" w:color="auto"/>
            <w:bottom w:val="none" w:sz="0" w:space="0" w:color="auto"/>
            <w:right w:val="none" w:sz="0" w:space="0" w:color="auto"/>
          </w:divBdr>
          <w:divsChild>
            <w:div w:id="159273868">
              <w:marLeft w:val="0"/>
              <w:marRight w:val="0"/>
              <w:marTop w:val="0"/>
              <w:marBottom w:val="0"/>
              <w:divBdr>
                <w:top w:val="none" w:sz="0" w:space="0" w:color="auto"/>
                <w:left w:val="none" w:sz="0" w:space="0" w:color="auto"/>
                <w:bottom w:val="none" w:sz="0" w:space="0" w:color="auto"/>
                <w:right w:val="none" w:sz="0" w:space="0" w:color="auto"/>
              </w:divBdr>
              <w:divsChild>
                <w:div w:id="1647666116">
                  <w:marLeft w:val="0"/>
                  <w:marRight w:val="0"/>
                  <w:marTop w:val="0"/>
                  <w:marBottom w:val="0"/>
                  <w:divBdr>
                    <w:top w:val="none" w:sz="0" w:space="0" w:color="auto"/>
                    <w:left w:val="none" w:sz="0" w:space="0" w:color="auto"/>
                    <w:bottom w:val="none" w:sz="0" w:space="0" w:color="auto"/>
                    <w:right w:val="none" w:sz="0" w:space="0" w:color="auto"/>
                  </w:divBdr>
                  <w:divsChild>
                    <w:div w:id="828864059">
                      <w:marLeft w:val="0"/>
                      <w:marRight w:val="0"/>
                      <w:marTop w:val="0"/>
                      <w:marBottom w:val="0"/>
                      <w:divBdr>
                        <w:top w:val="none" w:sz="0" w:space="0" w:color="auto"/>
                        <w:left w:val="none" w:sz="0" w:space="0" w:color="auto"/>
                        <w:bottom w:val="none" w:sz="0" w:space="0" w:color="auto"/>
                        <w:right w:val="none" w:sz="0" w:space="0" w:color="auto"/>
                      </w:divBdr>
                      <w:divsChild>
                        <w:div w:id="1046099626">
                          <w:marLeft w:val="0"/>
                          <w:marRight w:val="0"/>
                          <w:marTop w:val="0"/>
                          <w:marBottom w:val="0"/>
                          <w:divBdr>
                            <w:top w:val="none" w:sz="0" w:space="0" w:color="auto"/>
                            <w:left w:val="none" w:sz="0" w:space="0" w:color="auto"/>
                            <w:bottom w:val="none" w:sz="0" w:space="0" w:color="auto"/>
                            <w:right w:val="none" w:sz="0" w:space="0" w:color="auto"/>
                          </w:divBdr>
                          <w:divsChild>
                            <w:div w:id="1078673991">
                              <w:marLeft w:val="0"/>
                              <w:marRight w:val="0"/>
                              <w:marTop w:val="0"/>
                              <w:marBottom w:val="0"/>
                              <w:divBdr>
                                <w:top w:val="none" w:sz="0" w:space="0" w:color="auto"/>
                                <w:left w:val="none" w:sz="0" w:space="0" w:color="auto"/>
                                <w:bottom w:val="none" w:sz="0" w:space="0" w:color="auto"/>
                                <w:right w:val="none" w:sz="0" w:space="0" w:color="auto"/>
                              </w:divBdr>
                              <w:divsChild>
                                <w:div w:id="4372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F444-E0D4-764A-879D-C5990324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600</Words>
  <Characters>3423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2026-02-16T17:29:00Z</dcterms:created>
  <dcterms:modified xsi:type="dcterms:W3CDTF">2026-02-17T08:46:00Z</dcterms:modified>
</cp:coreProperties>
</file>