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6C945" w14:textId="6D5A7C5D" w:rsidR="00E9136B" w:rsidRPr="00C825D9" w:rsidRDefault="00BB7CCE" w:rsidP="007E7D9A">
      <w:pPr>
        <w:jc w:val="both"/>
        <w:rPr>
          <w:rFonts w:ascii="Calibri" w:hAnsi="Calibri" w:cs="Calibri"/>
          <w:b/>
          <w:bCs/>
          <w:sz w:val="20"/>
          <w:szCs w:val="20"/>
        </w:rPr>
      </w:pPr>
      <w:r w:rsidRPr="00C825D9">
        <w:rPr>
          <w:rFonts w:ascii="Calibri" w:hAnsi="Calibri" w:cs="Calibri"/>
          <w:b/>
          <w:bCs/>
          <w:sz w:val="20"/>
          <w:szCs w:val="20"/>
        </w:rPr>
        <w:t>Implementing CYP2C19-guided clopidogrel therapy: a scoping review of pharmacogenomic testing services</w:t>
      </w:r>
    </w:p>
    <w:p w14:paraId="3F611010" w14:textId="77777777" w:rsidR="00E548ED" w:rsidRPr="00C825D9" w:rsidRDefault="00E548ED" w:rsidP="00E548ED">
      <w:pPr>
        <w:jc w:val="both"/>
        <w:rPr>
          <w:rFonts w:ascii="Calibri" w:hAnsi="Calibri" w:cs="Calibri"/>
          <w:sz w:val="20"/>
          <w:szCs w:val="20"/>
        </w:rPr>
      </w:pPr>
      <w:r w:rsidRPr="00C825D9">
        <w:rPr>
          <w:rFonts w:ascii="Calibri" w:hAnsi="Calibri" w:cs="Calibri"/>
          <w:sz w:val="20"/>
          <w:szCs w:val="20"/>
        </w:rPr>
        <w:t>Tark J. Patel</w:t>
      </w:r>
      <w:r w:rsidRPr="00C825D9">
        <w:rPr>
          <w:rFonts w:ascii="Calibri" w:hAnsi="Calibri" w:cs="Calibri"/>
          <w:sz w:val="20"/>
          <w:szCs w:val="20"/>
          <w:vertAlign w:val="superscript"/>
        </w:rPr>
        <w:t>1</w:t>
      </w:r>
      <w:r w:rsidRPr="00C825D9">
        <w:rPr>
          <w:rFonts w:ascii="Calibri" w:hAnsi="Calibri" w:cs="Calibri"/>
          <w:sz w:val="20"/>
          <w:szCs w:val="20"/>
        </w:rPr>
        <w:t>, Eman Wehbe</w:t>
      </w:r>
      <w:r w:rsidRPr="00C825D9">
        <w:rPr>
          <w:rFonts w:ascii="Calibri" w:hAnsi="Calibri" w:cs="Calibri"/>
          <w:sz w:val="20"/>
          <w:szCs w:val="20"/>
          <w:vertAlign w:val="superscript"/>
        </w:rPr>
        <w:t>1</w:t>
      </w:r>
      <w:r w:rsidRPr="00C825D9">
        <w:rPr>
          <w:rFonts w:ascii="Calibri" w:hAnsi="Calibri" w:cs="Calibri"/>
          <w:sz w:val="20"/>
          <w:szCs w:val="20"/>
        </w:rPr>
        <w:t>, Stephen Hughes</w:t>
      </w:r>
      <w:r w:rsidRPr="00C825D9">
        <w:rPr>
          <w:rFonts w:ascii="Calibri" w:hAnsi="Calibri" w:cs="Calibri"/>
          <w:sz w:val="20"/>
          <w:szCs w:val="20"/>
          <w:vertAlign w:val="superscript"/>
        </w:rPr>
        <w:t>1</w:t>
      </w:r>
      <w:r w:rsidRPr="00C825D9">
        <w:rPr>
          <w:rFonts w:ascii="Calibri" w:hAnsi="Calibri" w:cs="Calibri"/>
          <w:sz w:val="20"/>
          <w:szCs w:val="20"/>
        </w:rPr>
        <w:t>, Asad E. Patanwala</w:t>
      </w:r>
      <w:r w:rsidRPr="00C825D9">
        <w:rPr>
          <w:rFonts w:ascii="Calibri" w:hAnsi="Calibri" w:cs="Calibri"/>
          <w:sz w:val="20"/>
          <w:szCs w:val="20"/>
          <w:vertAlign w:val="superscript"/>
        </w:rPr>
        <w:t>1</w:t>
      </w:r>
      <w:r w:rsidRPr="00C825D9">
        <w:rPr>
          <w:rFonts w:ascii="Calibri" w:hAnsi="Calibri" w:cs="Calibri"/>
          <w:sz w:val="20"/>
          <w:szCs w:val="20"/>
        </w:rPr>
        <w:t>, Leonard Kritharides</w:t>
      </w:r>
      <w:r w:rsidRPr="00C825D9">
        <w:rPr>
          <w:rFonts w:ascii="Calibri" w:hAnsi="Calibri" w:cs="Calibri"/>
          <w:sz w:val="20"/>
          <w:szCs w:val="20"/>
          <w:vertAlign w:val="superscript"/>
        </w:rPr>
        <w:t>2</w:t>
      </w:r>
      <w:r w:rsidRPr="00C825D9">
        <w:rPr>
          <w:rFonts w:ascii="Calibri" w:hAnsi="Calibri" w:cs="Calibri"/>
          <w:sz w:val="20"/>
          <w:szCs w:val="20"/>
        </w:rPr>
        <w:t>, Ronald Trent</w:t>
      </w:r>
      <w:r w:rsidRPr="00C825D9">
        <w:rPr>
          <w:rFonts w:ascii="Calibri" w:hAnsi="Calibri" w:cs="Calibri"/>
          <w:sz w:val="20"/>
          <w:szCs w:val="20"/>
          <w:vertAlign w:val="superscript"/>
        </w:rPr>
        <w:t>3</w:t>
      </w:r>
      <w:r w:rsidRPr="00C825D9">
        <w:rPr>
          <w:rFonts w:ascii="Calibri" w:hAnsi="Calibri" w:cs="Calibri"/>
          <w:sz w:val="20"/>
          <w:szCs w:val="20"/>
        </w:rPr>
        <w:t>, Sean Lal</w:t>
      </w:r>
      <w:r w:rsidRPr="00C825D9">
        <w:rPr>
          <w:rFonts w:ascii="Calibri" w:hAnsi="Calibri" w:cs="Calibri"/>
          <w:sz w:val="20"/>
          <w:szCs w:val="20"/>
          <w:vertAlign w:val="superscript"/>
        </w:rPr>
        <w:t>4</w:t>
      </w:r>
      <w:r w:rsidRPr="00C825D9">
        <w:rPr>
          <w:rFonts w:ascii="Calibri" w:hAnsi="Calibri" w:cs="Calibri"/>
          <w:sz w:val="20"/>
          <w:szCs w:val="20"/>
        </w:rPr>
        <w:t>, Sanjay Patel</w:t>
      </w:r>
      <w:r w:rsidRPr="00C825D9">
        <w:rPr>
          <w:rFonts w:ascii="Calibri" w:hAnsi="Calibri" w:cs="Calibri"/>
          <w:sz w:val="20"/>
          <w:szCs w:val="20"/>
          <w:vertAlign w:val="superscript"/>
        </w:rPr>
        <w:t>4</w:t>
      </w:r>
      <w:r w:rsidRPr="00C825D9">
        <w:rPr>
          <w:rFonts w:ascii="Calibri" w:hAnsi="Calibri" w:cs="Calibri"/>
          <w:sz w:val="20"/>
          <w:szCs w:val="20"/>
        </w:rPr>
        <w:t>, Sophie L. Stocker</w:t>
      </w:r>
      <w:r w:rsidRPr="00C825D9">
        <w:rPr>
          <w:rFonts w:ascii="Calibri" w:hAnsi="Calibri" w:cs="Calibri"/>
          <w:sz w:val="20"/>
          <w:szCs w:val="20"/>
          <w:vertAlign w:val="superscript"/>
        </w:rPr>
        <w:t>1</w:t>
      </w:r>
      <w:r w:rsidRPr="00C825D9">
        <w:rPr>
          <w:rFonts w:ascii="Calibri" w:hAnsi="Calibri" w:cs="Calibri"/>
          <w:sz w:val="20"/>
          <w:szCs w:val="20"/>
        </w:rPr>
        <w:t>. Sch of Pharm, Uni of Sydney, NSW</w:t>
      </w:r>
      <w:r w:rsidRPr="00C825D9">
        <w:rPr>
          <w:rFonts w:ascii="Calibri" w:hAnsi="Calibri" w:cs="Calibri"/>
          <w:sz w:val="20"/>
          <w:szCs w:val="20"/>
          <w:vertAlign w:val="superscript"/>
        </w:rPr>
        <w:t>1</w:t>
      </w:r>
      <w:r w:rsidRPr="00C825D9">
        <w:rPr>
          <w:rFonts w:ascii="Calibri" w:hAnsi="Calibri" w:cs="Calibri"/>
          <w:sz w:val="20"/>
          <w:szCs w:val="20"/>
        </w:rPr>
        <w:t>; Concord Repat Hosp, Sydney, NSW</w:t>
      </w:r>
      <w:r w:rsidRPr="00C825D9">
        <w:rPr>
          <w:rFonts w:ascii="Calibri" w:hAnsi="Calibri" w:cs="Calibri"/>
          <w:sz w:val="20"/>
          <w:szCs w:val="20"/>
          <w:vertAlign w:val="superscript"/>
        </w:rPr>
        <w:t>2</w:t>
      </w:r>
      <w:r w:rsidRPr="00C825D9">
        <w:rPr>
          <w:rFonts w:ascii="Calibri" w:hAnsi="Calibri" w:cs="Calibri"/>
          <w:sz w:val="20"/>
          <w:szCs w:val="20"/>
        </w:rPr>
        <w:t>; Dept of Medical Genomics, Royal Prince Alfred Hosp, Sydney, NSW</w:t>
      </w:r>
      <w:r w:rsidRPr="00C825D9">
        <w:rPr>
          <w:rFonts w:ascii="Calibri" w:hAnsi="Calibri" w:cs="Calibri"/>
          <w:sz w:val="20"/>
          <w:szCs w:val="20"/>
          <w:vertAlign w:val="superscript"/>
        </w:rPr>
        <w:t>3</w:t>
      </w:r>
      <w:r w:rsidRPr="00C825D9">
        <w:rPr>
          <w:rFonts w:ascii="Calibri" w:hAnsi="Calibri" w:cs="Calibri"/>
          <w:sz w:val="20"/>
          <w:szCs w:val="20"/>
        </w:rPr>
        <w:t>; Dept of Cardiology, Royal Prince Alfred Hosp, Sydney, NSW</w:t>
      </w:r>
      <w:r w:rsidRPr="00C825D9">
        <w:rPr>
          <w:rFonts w:ascii="Calibri" w:hAnsi="Calibri" w:cs="Calibri"/>
          <w:sz w:val="20"/>
          <w:szCs w:val="20"/>
          <w:vertAlign w:val="superscript"/>
        </w:rPr>
        <w:t>4</w:t>
      </w:r>
      <w:r w:rsidRPr="00C825D9">
        <w:rPr>
          <w:rFonts w:ascii="Calibri" w:hAnsi="Calibri" w:cs="Calibri"/>
          <w:sz w:val="20"/>
          <w:szCs w:val="20"/>
        </w:rPr>
        <w:t>.</w:t>
      </w:r>
    </w:p>
    <w:p w14:paraId="517A96FF" w14:textId="77777777" w:rsidR="00F31DFC" w:rsidRPr="00C825D9" w:rsidRDefault="00F31DFC" w:rsidP="00F31DFC">
      <w:pPr>
        <w:jc w:val="both"/>
        <w:rPr>
          <w:rFonts w:ascii="Calibri" w:hAnsi="Calibri" w:cs="Calibri"/>
          <w:sz w:val="20"/>
          <w:szCs w:val="20"/>
        </w:rPr>
      </w:pPr>
    </w:p>
    <w:p w14:paraId="2EEDCCC9" w14:textId="2110D3FC" w:rsidR="00C825D9" w:rsidRPr="00C825D9" w:rsidRDefault="00F31DFC" w:rsidP="00C825D9">
      <w:pPr>
        <w:jc w:val="both"/>
        <w:rPr>
          <w:rFonts w:ascii="Calibri" w:hAnsi="Calibri" w:cs="Calibri"/>
          <w:sz w:val="20"/>
          <w:szCs w:val="20"/>
        </w:rPr>
      </w:pPr>
      <w:r w:rsidRPr="00C825D9">
        <w:rPr>
          <w:rFonts w:ascii="Calibri" w:hAnsi="Calibri" w:cs="Calibri"/>
          <w:b/>
          <w:bCs/>
          <w:sz w:val="20"/>
          <w:szCs w:val="20"/>
        </w:rPr>
        <w:t>Introduction.</w:t>
      </w:r>
      <w:r w:rsidRPr="00C825D9">
        <w:rPr>
          <w:rFonts w:ascii="Calibri" w:hAnsi="Calibri" w:cs="Calibri"/>
          <w:sz w:val="20"/>
          <w:szCs w:val="20"/>
        </w:rPr>
        <w:t xml:space="preserve"> </w:t>
      </w:r>
      <w:r w:rsidR="002225DF" w:rsidRPr="00C825D9">
        <w:rPr>
          <w:rFonts w:ascii="Calibri" w:hAnsi="Calibri" w:cs="Calibri"/>
          <w:sz w:val="20"/>
          <w:szCs w:val="20"/>
        </w:rPr>
        <w:t xml:space="preserve">CYP2C19 testing helps personalise clopidogrel therapy and reduces the risk of a secondary myocardial infarction in poor metabolisers. However, </w:t>
      </w:r>
      <w:r w:rsidR="00123042" w:rsidRPr="00C825D9">
        <w:rPr>
          <w:rFonts w:ascii="Calibri" w:hAnsi="Calibri" w:cs="Calibri"/>
          <w:sz w:val="20"/>
          <w:szCs w:val="20"/>
        </w:rPr>
        <w:t>a lack of understanding on how to</w:t>
      </w:r>
      <w:r w:rsidR="002225DF" w:rsidRPr="00C825D9">
        <w:rPr>
          <w:rFonts w:ascii="Calibri" w:hAnsi="Calibri" w:cs="Calibri"/>
          <w:sz w:val="20"/>
          <w:szCs w:val="20"/>
        </w:rPr>
        <w:t xml:space="preserve"> </w:t>
      </w:r>
      <w:r w:rsidR="00123042" w:rsidRPr="00C825D9">
        <w:rPr>
          <w:rFonts w:ascii="Calibri" w:hAnsi="Calibri" w:cs="Calibri"/>
          <w:sz w:val="20"/>
          <w:szCs w:val="20"/>
        </w:rPr>
        <w:t>best deliver</w:t>
      </w:r>
      <w:r w:rsidR="002225DF" w:rsidRPr="00C825D9">
        <w:rPr>
          <w:rFonts w:ascii="Calibri" w:hAnsi="Calibri" w:cs="Calibri"/>
          <w:sz w:val="20"/>
          <w:szCs w:val="20"/>
        </w:rPr>
        <w:t xml:space="preserve"> </w:t>
      </w:r>
      <w:r w:rsidR="00123042" w:rsidRPr="00C825D9">
        <w:rPr>
          <w:rFonts w:ascii="Calibri" w:hAnsi="Calibri" w:cs="Calibri"/>
          <w:sz w:val="20"/>
          <w:szCs w:val="20"/>
        </w:rPr>
        <w:t>such a</w:t>
      </w:r>
      <w:r w:rsidR="002225DF" w:rsidRPr="00C825D9">
        <w:rPr>
          <w:rFonts w:ascii="Calibri" w:hAnsi="Calibri" w:cs="Calibri"/>
          <w:sz w:val="20"/>
          <w:szCs w:val="20"/>
        </w:rPr>
        <w:t xml:space="preserve"> service within </w:t>
      </w:r>
      <w:r w:rsidR="00123042" w:rsidRPr="00C825D9">
        <w:rPr>
          <w:rFonts w:ascii="Calibri" w:hAnsi="Calibri" w:cs="Calibri"/>
          <w:sz w:val="20"/>
          <w:szCs w:val="20"/>
        </w:rPr>
        <w:t xml:space="preserve">hospital </w:t>
      </w:r>
      <w:r w:rsidR="000E5685" w:rsidRPr="00C825D9">
        <w:rPr>
          <w:rFonts w:ascii="Calibri" w:hAnsi="Calibri" w:cs="Calibri"/>
          <w:sz w:val="20"/>
          <w:szCs w:val="20"/>
        </w:rPr>
        <w:t>and</w:t>
      </w:r>
      <w:r w:rsidR="00123042" w:rsidRPr="00C825D9">
        <w:rPr>
          <w:rFonts w:ascii="Calibri" w:hAnsi="Calibri" w:cs="Calibri"/>
          <w:sz w:val="20"/>
          <w:szCs w:val="20"/>
        </w:rPr>
        <w:t xml:space="preserve"> community</w:t>
      </w:r>
      <w:r w:rsidR="000E5685" w:rsidRPr="00C825D9">
        <w:rPr>
          <w:rFonts w:ascii="Calibri" w:hAnsi="Calibri" w:cs="Calibri"/>
          <w:sz w:val="20"/>
          <w:szCs w:val="20"/>
        </w:rPr>
        <w:t xml:space="preserve"> settings</w:t>
      </w:r>
      <w:r w:rsidR="002225DF" w:rsidRPr="00C825D9">
        <w:rPr>
          <w:rFonts w:ascii="Calibri" w:hAnsi="Calibri" w:cs="Calibri"/>
          <w:sz w:val="20"/>
          <w:szCs w:val="20"/>
        </w:rPr>
        <w:t xml:space="preserve"> </w:t>
      </w:r>
      <w:r w:rsidR="00123042" w:rsidRPr="00C825D9">
        <w:rPr>
          <w:rFonts w:ascii="Calibri" w:hAnsi="Calibri" w:cs="Calibri"/>
          <w:sz w:val="20"/>
          <w:szCs w:val="20"/>
        </w:rPr>
        <w:t>has been a major barrier to clinical implementation.</w:t>
      </w:r>
    </w:p>
    <w:p w14:paraId="554D4F3F" w14:textId="2859F94F" w:rsidR="00C825D9" w:rsidRPr="00C825D9" w:rsidRDefault="002225DF" w:rsidP="00C825D9">
      <w:pPr>
        <w:jc w:val="both"/>
        <w:rPr>
          <w:rFonts w:ascii="Calibri" w:hAnsi="Calibri" w:cs="Calibri"/>
          <w:sz w:val="20"/>
          <w:szCs w:val="20"/>
        </w:rPr>
      </w:pPr>
      <w:r w:rsidRPr="00C825D9">
        <w:rPr>
          <w:rFonts w:ascii="Calibri" w:hAnsi="Calibri" w:cs="Calibri"/>
          <w:b/>
          <w:bCs/>
          <w:sz w:val="20"/>
          <w:szCs w:val="20"/>
        </w:rPr>
        <w:t>Aim.</w:t>
      </w:r>
      <w:r w:rsidRPr="00C825D9">
        <w:rPr>
          <w:rFonts w:ascii="Calibri" w:hAnsi="Calibri" w:cs="Calibri"/>
          <w:sz w:val="20"/>
          <w:szCs w:val="20"/>
        </w:rPr>
        <w:t xml:space="preserve"> </w:t>
      </w:r>
      <w:r w:rsidR="00516321">
        <w:rPr>
          <w:rFonts w:ascii="Calibri" w:eastAsia="Times" w:hAnsi="Calibri" w:cs="Calibri"/>
          <w:color w:val="000000" w:themeColor="text1"/>
          <w:sz w:val="20"/>
          <w:szCs w:val="20"/>
        </w:rPr>
        <w:t>To i</w:t>
      </w:r>
      <w:r w:rsidR="00C825D9" w:rsidRPr="00C825D9">
        <w:rPr>
          <w:rFonts w:ascii="Calibri" w:eastAsia="Times" w:hAnsi="Calibri" w:cs="Calibri"/>
          <w:color w:val="000000" w:themeColor="text1"/>
          <w:sz w:val="20"/>
          <w:szCs w:val="20"/>
        </w:rPr>
        <w:t xml:space="preserve">dentify and evaluate </w:t>
      </w:r>
      <w:r w:rsidR="00516321">
        <w:rPr>
          <w:rFonts w:ascii="Calibri" w:eastAsia="Times" w:hAnsi="Calibri" w:cs="Calibri"/>
          <w:color w:val="000000" w:themeColor="text1"/>
          <w:sz w:val="20"/>
          <w:szCs w:val="20"/>
        </w:rPr>
        <w:t>pharmacogenomic</w:t>
      </w:r>
      <w:r w:rsidR="00C825D9" w:rsidRPr="00C825D9">
        <w:rPr>
          <w:rFonts w:ascii="Calibri" w:eastAsia="Times" w:hAnsi="Calibri" w:cs="Calibri"/>
          <w:color w:val="000000" w:themeColor="text1"/>
          <w:sz w:val="20"/>
          <w:szCs w:val="20"/>
        </w:rPr>
        <w:t xml:space="preserve"> testing services to inform the design and delivery of CYP2C19 testing services </w:t>
      </w:r>
      <w:r w:rsidR="00516321">
        <w:rPr>
          <w:rFonts w:ascii="Calibri" w:eastAsia="Times" w:hAnsi="Calibri" w:cs="Calibri"/>
          <w:color w:val="000000" w:themeColor="text1"/>
          <w:sz w:val="20"/>
          <w:szCs w:val="20"/>
        </w:rPr>
        <w:t>in relation to clopidogrel therapy</w:t>
      </w:r>
      <w:r w:rsidR="00C825D9">
        <w:rPr>
          <w:rFonts w:ascii="Calibri" w:eastAsia="Times" w:hAnsi="Calibri" w:cs="Calibri"/>
          <w:color w:val="000000" w:themeColor="text1"/>
          <w:sz w:val="20"/>
          <w:szCs w:val="20"/>
        </w:rPr>
        <w:t>.</w:t>
      </w:r>
    </w:p>
    <w:p w14:paraId="7623BDF5" w14:textId="6702A46F" w:rsidR="00E548ED" w:rsidRPr="00C825D9" w:rsidRDefault="002225DF" w:rsidP="00DB641A">
      <w:pPr>
        <w:jc w:val="both"/>
        <w:rPr>
          <w:rFonts w:ascii="Calibri" w:hAnsi="Calibri" w:cs="Calibri"/>
          <w:sz w:val="20"/>
          <w:szCs w:val="20"/>
        </w:rPr>
      </w:pPr>
      <w:r w:rsidRPr="00C825D9">
        <w:rPr>
          <w:rFonts w:ascii="Calibri" w:hAnsi="Calibri" w:cs="Calibri"/>
          <w:b/>
          <w:bCs/>
          <w:sz w:val="20"/>
          <w:szCs w:val="20"/>
        </w:rPr>
        <w:t xml:space="preserve">Methods. </w:t>
      </w:r>
      <w:r w:rsidR="008441E3" w:rsidRPr="00C825D9">
        <w:rPr>
          <w:rFonts w:ascii="Calibri" w:hAnsi="Calibri" w:cs="Calibri"/>
          <w:sz w:val="20"/>
          <w:szCs w:val="20"/>
        </w:rPr>
        <w:t>The SCOPUS, CINAHL, Medline, PubMed and EMBASE databases were searched from inception to 25</w:t>
      </w:r>
      <w:r w:rsidR="008441E3" w:rsidRPr="00C825D9">
        <w:rPr>
          <w:rFonts w:ascii="Calibri" w:hAnsi="Calibri" w:cs="Calibri"/>
          <w:sz w:val="20"/>
          <w:szCs w:val="20"/>
          <w:vertAlign w:val="superscript"/>
        </w:rPr>
        <w:t>th</w:t>
      </w:r>
      <w:r w:rsidR="008441E3" w:rsidRPr="00C825D9">
        <w:rPr>
          <w:rFonts w:ascii="Calibri" w:hAnsi="Calibri" w:cs="Calibri"/>
          <w:sz w:val="20"/>
          <w:szCs w:val="20"/>
        </w:rPr>
        <w:t xml:space="preserve"> March 2024. The search strategy utilised </w:t>
      </w:r>
      <w:r w:rsidR="00E548ED" w:rsidRPr="00C825D9">
        <w:rPr>
          <w:rFonts w:ascii="Calibri" w:hAnsi="Calibri" w:cs="Calibri"/>
          <w:sz w:val="20"/>
          <w:szCs w:val="20"/>
        </w:rPr>
        <w:t>“</w:t>
      </w:r>
      <w:r w:rsidR="008441E3" w:rsidRPr="00C825D9">
        <w:rPr>
          <w:rFonts w:ascii="Calibri" w:hAnsi="Calibri" w:cs="Calibri"/>
          <w:sz w:val="20"/>
          <w:szCs w:val="20"/>
        </w:rPr>
        <w:t>pharmacogenomic</w:t>
      </w:r>
      <w:r w:rsidR="00E548ED" w:rsidRPr="00C825D9">
        <w:rPr>
          <w:rFonts w:ascii="Calibri" w:hAnsi="Calibri" w:cs="Calibri"/>
          <w:sz w:val="20"/>
          <w:szCs w:val="20"/>
        </w:rPr>
        <w:t>”</w:t>
      </w:r>
      <w:r w:rsidR="008441E3" w:rsidRPr="00C825D9">
        <w:rPr>
          <w:rFonts w:ascii="Calibri" w:hAnsi="Calibri" w:cs="Calibri"/>
          <w:sz w:val="20"/>
          <w:szCs w:val="20"/>
        </w:rPr>
        <w:t xml:space="preserve">, </w:t>
      </w:r>
      <w:r w:rsidR="00E548ED" w:rsidRPr="00C825D9">
        <w:rPr>
          <w:rFonts w:ascii="Calibri" w:hAnsi="Calibri" w:cs="Calibri"/>
          <w:sz w:val="20"/>
          <w:szCs w:val="20"/>
        </w:rPr>
        <w:t>“</w:t>
      </w:r>
      <w:r w:rsidR="008441E3" w:rsidRPr="00C825D9">
        <w:rPr>
          <w:rFonts w:ascii="Calibri" w:hAnsi="Calibri" w:cs="Calibri"/>
          <w:sz w:val="20"/>
          <w:szCs w:val="20"/>
        </w:rPr>
        <w:t>community</w:t>
      </w:r>
      <w:r w:rsidR="00E548ED" w:rsidRPr="00C825D9">
        <w:rPr>
          <w:rFonts w:ascii="Calibri" w:hAnsi="Calibri" w:cs="Calibri"/>
          <w:sz w:val="20"/>
          <w:szCs w:val="20"/>
        </w:rPr>
        <w:t>”</w:t>
      </w:r>
      <w:r w:rsidR="008441E3" w:rsidRPr="00C825D9">
        <w:rPr>
          <w:rFonts w:ascii="Calibri" w:hAnsi="Calibri" w:cs="Calibri"/>
          <w:sz w:val="20"/>
          <w:szCs w:val="20"/>
        </w:rPr>
        <w:t xml:space="preserve">, </w:t>
      </w:r>
      <w:r w:rsidR="00E548ED" w:rsidRPr="00C825D9">
        <w:rPr>
          <w:rFonts w:ascii="Calibri" w:hAnsi="Calibri" w:cs="Calibri"/>
          <w:sz w:val="20"/>
          <w:szCs w:val="20"/>
        </w:rPr>
        <w:t>“</w:t>
      </w:r>
      <w:r w:rsidR="008441E3" w:rsidRPr="00C825D9">
        <w:rPr>
          <w:rFonts w:ascii="Calibri" w:hAnsi="Calibri" w:cs="Calibri"/>
          <w:sz w:val="20"/>
          <w:szCs w:val="20"/>
        </w:rPr>
        <w:t>hospital</w:t>
      </w:r>
      <w:r w:rsidR="00E548ED" w:rsidRPr="00C825D9">
        <w:rPr>
          <w:rFonts w:ascii="Calibri" w:hAnsi="Calibri" w:cs="Calibri"/>
          <w:sz w:val="20"/>
          <w:szCs w:val="20"/>
        </w:rPr>
        <w:t>”</w:t>
      </w:r>
      <w:r w:rsidR="00095D7D">
        <w:rPr>
          <w:rFonts w:ascii="Calibri" w:hAnsi="Calibri" w:cs="Calibri"/>
          <w:sz w:val="20"/>
          <w:szCs w:val="20"/>
        </w:rPr>
        <w:t>,</w:t>
      </w:r>
      <w:r w:rsidR="008441E3" w:rsidRPr="00C825D9">
        <w:rPr>
          <w:rFonts w:ascii="Calibri" w:hAnsi="Calibri" w:cs="Calibri"/>
          <w:sz w:val="20"/>
          <w:szCs w:val="20"/>
        </w:rPr>
        <w:t xml:space="preserve"> and </w:t>
      </w:r>
      <w:r w:rsidR="00E548ED" w:rsidRPr="00C825D9">
        <w:rPr>
          <w:rFonts w:ascii="Calibri" w:hAnsi="Calibri" w:cs="Calibri"/>
          <w:sz w:val="20"/>
          <w:szCs w:val="20"/>
        </w:rPr>
        <w:t>“</w:t>
      </w:r>
      <w:r w:rsidR="008441E3" w:rsidRPr="00C825D9">
        <w:rPr>
          <w:rFonts w:ascii="Calibri" w:hAnsi="Calibri" w:cs="Calibri"/>
          <w:sz w:val="20"/>
          <w:szCs w:val="20"/>
        </w:rPr>
        <w:t>implementation model</w:t>
      </w:r>
      <w:r w:rsidR="00E548ED" w:rsidRPr="00C825D9">
        <w:rPr>
          <w:rFonts w:ascii="Calibri" w:hAnsi="Calibri" w:cs="Calibri"/>
          <w:sz w:val="20"/>
          <w:szCs w:val="20"/>
        </w:rPr>
        <w:t>”</w:t>
      </w:r>
      <w:r w:rsidR="008441E3" w:rsidRPr="00C825D9">
        <w:rPr>
          <w:rFonts w:ascii="Calibri" w:hAnsi="Calibri" w:cs="Calibri"/>
          <w:sz w:val="20"/>
          <w:szCs w:val="20"/>
        </w:rPr>
        <w:t xml:space="preserve"> terminology. </w:t>
      </w:r>
      <w:r w:rsidR="00E548ED" w:rsidRPr="00C825D9">
        <w:rPr>
          <w:rFonts w:ascii="Calibri" w:hAnsi="Calibri" w:cs="Calibri"/>
          <w:sz w:val="20"/>
          <w:szCs w:val="20"/>
        </w:rPr>
        <w:t>Studies</w:t>
      </w:r>
      <w:r w:rsidR="008441E3" w:rsidRPr="00C825D9">
        <w:rPr>
          <w:rFonts w:ascii="Calibri" w:hAnsi="Calibri" w:cs="Calibri"/>
          <w:sz w:val="20"/>
          <w:szCs w:val="20"/>
        </w:rPr>
        <w:t xml:space="preserve"> describing the implementation of a pharmacogenomic testing service for CYP2C19 and clopidogrel as the sole gene-drug pair or part of a wider panel of genes </w:t>
      </w:r>
      <w:r w:rsidR="00E548ED" w:rsidRPr="00C825D9">
        <w:rPr>
          <w:rFonts w:ascii="Calibri" w:hAnsi="Calibri" w:cs="Calibri"/>
          <w:sz w:val="20"/>
          <w:szCs w:val="20"/>
        </w:rPr>
        <w:t>were</w:t>
      </w:r>
      <w:r w:rsidR="008441E3" w:rsidRPr="00C825D9">
        <w:rPr>
          <w:rFonts w:ascii="Calibri" w:hAnsi="Calibri" w:cs="Calibri"/>
          <w:sz w:val="20"/>
          <w:szCs w:val="20"/>
        </w:rPr>
        <w:t xml:space="preserve"> included.</w:t>
      </w:r>
    </w:p>
    <w:p w14:paraId="6AF3F411" w14:textId="5264FD67" w:rsidR="00454DE7" w:rsidRPr="00C825D9" w:rsidRDefault="00454DE7" w:rsidP="00454DE7">
      <w:pPr>
        <w:jc w:val="both"/>
        <w:rPr>
          <w:rFonts w:ascii="Calibri" w:hAnsi="Calibri" w:cs="Calibri"/>
          <w:sz w:val="20"/>
          <w:szCs w:val="20"/>
        </w:rPr>
      </w:pPr>
      <w:r w:rsidRPr="00C825D9">
        <w:rPr>
          <w:rFonts w:ascii="Calibri" w:hAnsi="Calibri" w:cs="Calibri"/>
          <w:b/>
          <w:bCs/>
          <w:sz w:val="20"/>
          <w:szCs w:val="20"/>
        </w:rPr>
        <w:t xml:space="preserve">Results. </w:t>
      </w:r>
      <w:r w:rsidRPr="00C825D9">
        <w:rPr>
          <w:rFonts w:ascii="Calibri" w:hAnsi="Calibri" w:cs="Calibri"/>
          <w:sz w:val="20"/>
          <w:szCs w:val="20"/>
        </w:rPr>
        <w:t xml:space="preserve">Of the 2,455 articles screened, 37 were eligible for study inclusion (14 community, 22 hospital and 1 in both settings). A multi-disciplinary approach to service implementation was </w:t>
      </w:r>
      <w:r w:rsidR="00C825D9" w:rsidRPr="00C825D9">
        <w:rPr>
          <w:rFonts w:ascii="Calibri" w:hAnsi="Calibri" w:cs="Calibri"/>
          <w:sz w:val="20"/>
          <w:szCs w:val="20"/>
        </w:rPr>
        <w:t>critical</w:t>
      </w:r>
      <w:r w:rsidRPr="00C825D9">
        <w:rPr>
          <w:rFonts w:ascii="Calibri" w:hAnsi="Calibri" w:cs="Calibri"/>
          <w:sz w:val="20"/>
          <w:szCs w:val="20"/>
        </w:rPr>
        <w:t xml:space="preserve"> in all studies, with particular importance of pharmacist involvement alongside physicians, laboratory staff and nurses. Additionally, pre-implementation education and training for clinical staff was </w:t>
      </w:r>
      <w:r w:rsidR="00914BCF">
        <w:rPr>
          <w:rFonts w:ascii="Calibri" w:hAnsi="Calibri" w:cs="Calibri"/>
          <w:sz w:val="20"/>
          <w:szCs w:val="20"/>
        </w:rPr>
        <w:t>essential in most studies</w:t>
      </w:r>
      <w:r w:rsidRPr="00C825D9">
        <w:rPr>
          <w:rFonts w:ascii="Calibri" w:hAnsi="Calibri" w:cs="Calibri"/>
          <w:sz w:val="20"/>
          <w:szCs w:val="20"/>
        </w:rPr>
        <w:t xml:space="preserve"> (</w:t>
      </w:r>
      <w:r w:rsidR="001B7E5B">
        <w:rPr>
          <w:rFonts w:ascii="Calibri" w:hAnsi="Calibri" w:cs="Calibri"/>
          <w:sz w:val="20"/>
          <w:szCs w:val="20"/>
        </w:rPr>
        <w:t>22/37</w:t>
      </w:r>
      <w:r w:rsidRPr="00C825D9">
        <w:rPr>
          <w:rFonts w:ascii="Calibri" w:hAnsi="Calibri" w:cs="Calibri"/>
          <w:sz w:val="20"/>
          <w:szCs w:val="20"/>
        </w:rPr>
        <w:t xml:space="preserve">, 59%). This was delivered through a variety of methods including in-person training on point-of-care devices, online seminars and webinars, and educational resources linked within the electronic health records for clinicians to access. Although CYP2C19 test results were most commonly documented and reported electronically by the laboratory, they were </w:t>
      </w:r>
      <w:r w:rsidR="001C1A64">
        <w:rPr>
          <w:rFonts w:ascii="Calibri" w:hAnsi="Calibri" w:cs="Calibri"/>
          <w:sz w:val="20"/>
          <w:szCs w:val="20"/>
        </w:rPr>
        <w:t>infrequently</w:t>
      </w:r>
      <w:r w:rsidRPr="00C825D9">
        <w:rPr>
          <w:rFonts w:ascii="Calibri" w:hAnsi="Calibri" w:cs="Calibri"/>
          <w:sz w:val="20"/>
          <w:szCs w:val="20"/>
        </w:rPr>
        <w:t xml:space="preserve"> integrated within clinical decision support systems to guide decision making at the point of prescribing.</w:t>
      </w:r>
    </w:p>
    <w:p w14:paraId="6FEA50BA" w14:textId="0E6E90F7" w:rsidR="00914BCF" w:rsidRPr="007E7D9A" w:rsidRDefault="00DB641A" w:rsidP="00F31DFC">
      <w:pPr>
        <w:jc w:val="both"/>
        <w:rPr>
          <w:rFonts w:ascii="Calibri" w:eastAsia="Times New Roman" w:hAnsi="Calibri" w:cs="Calibri"/>
          <w:color w:val="000000" w:themeColor="text1"/>
          <w:sz w:val="20"/>
          <w:szCs w:val="20"/>
        </w:rPr>
      </w:pPr>
      <w:r w:rsidRPr="00C825D9">
        <w:rPr>
          <w:rFonts w:ascii="Calibri" w:hAnsi="Calibri" w:cs="Calibri"/>
          <w:b/>
          <w:bCs/>
          <w:sz w:val="20"/>
          <w:szCs w:val="20"/>
        </w:rPr>
        <w:t>Discussion.</w:t>
      </w:r>
      <w:r w:rsidRPr="00C825D9">
        <w:rPr>
          <w:rFonts w:ascii="Calibri" w:hAnsi="Calibri" w:cs="Calibri"/>
          <w:sz w:val="20"/>
          <w:szCs w:val="20"/>
        </w:rPr>
        <w:t xml:space="preserve"> </w:t>
      </w:r>
      <w:r w:rsidRPr="00C825D9">
        <w:rPr>
          <w:rFonts w:ascii="Calibri" w:eastAsia="Times New Roman" w:hAnsi="Calibri" w:cs="Calibri"/>
          <w:color w:val="000000" w:themeColor="text1"/>
          <w:sz w:val="20"/>
          <w:szCs w:val="20"/>
        </w:rPr>
        <w:t>Pre-implementation training and education, a multidisciplinary team involving pharmacists, and electronic documentation and notification of results</w:t>
      </w:r>
      <w:r w:rsidR="00516321">
        <w:rPr>
          <w:rFonts w:ascii="Calibri" w:eastAsia="Times New Roman" w:hAnsi="Calibri" w:cs="Calibri"/>
          <w:color w:val="000000" w:themeColor="text1"/>
          <w:sz w:val="20"/>
          <w:szCs w:val="20"/>
        </w:rPr>
        <w:t xml:space="preserve"> </w:t>
      </w:r>
      <w:r w:rsidR="00095D7D">
        <w:rPr>
          <w:rFonts w:ascii="Calibri" w:eastAsia="Times New Roman" w:hAnsi="Calibri" w:cs="Calibri"/>
          <w:color w:val="000000" w:themeColor="text1"/>
          <w:sz w:val="20"/>
          <w:szCs w:val="20"/>
        </w:rPr>
        <w:t>are</w:t>
      </w:r>
      <w:r w:rsidR="00C825D9" w:rsidRPr="00C825D9">
        <w:rPr>
          <w:rFonts w:ascii="Calibri" w:eastAsia="Times New Roman" w:hAnsi="Calibri" w:cs="Calibri"/>
          <w:color w:val="000000" w:themeColor="text1"/>
          <w:sz w:val="20"/>
          <w:szCs w:val="20"/>
        </w:rPr>
        <w:t xml:space="preserve"> common elements of </w:t>
      </w:r>
      <w:r w:rsidR="00095D7D">
        <w:rPr>
          <w:rFonts w:ascii="Calibri" w:hAnsi="Calibri" w:cs="Calibri"/>
          <w:sz w:val="20"/>
          <w:szCs w:val="20"/>
        </w:rPr>
        <w:t>CYP2C19</w:t>
      </w:r>
      <w:r w:rsidR="00C825D9" w:rsidRPr="00C825D9">
        <w:rPr>
          <w:rFonts w:ascii="Calibri" w:hAnsi="Calibri" w:cs="Calibri"/>
          <w:sz w:val="20"/>
          <w:szCs w:val="20"/>
        </w:rPr>
        <w:t xml:space="preserve"> testing services </w:t>
      </w:r>
      <w:r w:rsidR="00516321">
        <w:rPr>
          <w:rFonts w:ascii="Calibri" w:hAnsi="Calibri" w:cs="Calibri"/>
          <w:sz w:val="20"/>
          <w:szCs w:val="20"/>
        </w:rPr>
        <w:t xml:space="preserve">for </w:t>
      </w:r>
      <w:r w:rsidR="00095D7D">
        <w:rPr>
          <w:rFonts w:ascii="Calibri" w:hAnsi="Calibri" w:cs="Calibri"/>
          <w:sz w:val="20"/>
          <w:szCs w:val="20"/>
        </w:rPr>
        <w:t xml:space="preserve">guiding </w:t>
      </w:r>
      <w:r w:rsidR="00516321">
        <w:rPr>
          <w:rFonts w:ascii="Calibri" w:hAnsi="Calibri" w:cs="Calibri"/>
          <w:sz w:val="20"/>
          <w:szCs w:val="20"/>
        </w:rPr>
        <w:t>clopidogrel</w:t>
      </w:r>
      <w:r w:rsidR="00095D7D">
        <w:rPr>
          <w:rFonts w:ascii="Calibri" w:hAnsi="Calibri" w:cs="Calibri"/>
          <w:sz w:val="20"/>
          <w:szCs w:val="20"/>
        </w:rPr>
        <w:t xml:space="preserve"> therapy</w:t>
      </w:r>
      <w:r w:rsidR="00C825D9" w:rsidRPr="00C825D9">
        <w:rPr>
          <w:rFonts w:ascii="Calibri" w:hAnsi="Calibri" w:cs="Calibri"/>
          <w:sz w:val="20"/>
          <w:szCs w:val="20"/>
        </w:rPr>
        <w:t xml:space="preserve">. </w:t>
      </w:r>
      <w:r w:rsidR="00516321">
        <w:rPr>
          <w:rFonts w:ascii="Calibri" w:hAnsi="Calibri" w:cs="Calibri"/>
          <w:sz w:val="20"/>
          <w:szCs w:val="20"/>
        </w:rPr>
        <w:t xml:space="preserve">The ability </w:t>
      </w:r>
      <w:r w:rsidR="00516321">
        <w:rPr>
          <w:rFonts w:ascii="Calibri" w:eastAsia="Times New Roman" w:hAnsi="Calibri" w:cs="Calibri"/>
          <w:color w:val="000000" w:themeColor="text1"/>
          <w:sz w:val="20"/>
          <w:szCs w:val="20"/>
        </w:rPr>
        <w:t>to access genotype results</w:t>
      </w:r>
      <w:r w:rsidR="00516321" w:rsidRPr="00C825D9">
        <w:rPr>
          <w:rFonts w:ascii="Calibri" w:eastAsia="Times New Roman" w:hAnsi="Calibri" w:cs="Calibri"/>
          <w:color w:val="000000" w:themeColor="text1"/>
          <w:sz w:val="20"/>
          <w:szCs w:val="20"/>
        </w:rPr>
        <w:t xml:space="preserve"> across various healthcare </w:t>
      </w:r>
      <w:r w:rsidR="00095D7D">
        <w:rPr>
          <w:rFonts w:ascii="Calibri" w:eastAsia="Times New Roman" w:hAnsi="Calibri" w:cs="Calibri"/>
          <w:color w:val="000000" w:themeColor="text1"/>
          <w:sz w:val="20"/>
          <w:szCs w:val="20"/>
        </w:rPr>
        <w:t>disciplines,</w:t>
      </w:r>
      <w:r w:rsidR="00516321" w:rsidRPr="00C825D9">
        <w:rPr>
          <w:rFonts w:ascii="Calibri" w:hAnsi="Calibri" w:cs="Calibri"/>
          <w:sz w:val="20"/>
          <w:szCs w:val="20"/>
        </w:rPr>
        <w:t xml:space="preserve"> </w:t>
      </w:r>
      <w:r w:rsidR="00516321">
        <w:rPr>
          <w:rFonts w:ascii="Calibri" w:hAnsi="Calibri" w:cs="Calibri"/>
          <w:sz w:val="20"/>
          <w:szCs w:val="20"/>
        </w:rPr>
        <w:t>and i</w:t>
      </w:r>
      <w:r w:rsidR="00C825D9" w:rsidRPr="00C825D9">
        <w:rPr>
          <w:rFonts w:ascii="Calibri" w:hAnsi="Calibri" w:cs="Calibri"/>
          <w:sz w:val="20"/>
          <w:szCs w:val="20"/>
        </w:rPr>
        <w:t>mproved integration of genotype results with</w:t>
      </w:r>
      <w:r w:rsidR="00095D7D">
        <w:rPr>
          <w:rFonts w:ascii="Calibri" w:hAnsi="Calibri" w:cs="Calibri"/>
          <w:sz w:val="20"/>
          <w:szCs w:val="20"/>
        </w:rPr>
        <w:t>in</w:t>
      </w:r>
      <w:r w:rsidR="00C825D9" w:rsidRPr="00C825D9">
        <w:rPr>
          <w:rFonts w:ascii="Calibri" w:hAnsi="Calibri" w:cs="Calibri"/>
          <w:sz w:val="20"/>
          <w:szCs w:val="20"/>
        </w:rPr>
        <w:t xml:space="preserve"> clinical decision support </w:t>
      </w:r>
      <w:r w:rsidR="00095D7D">
        <w:rPr>
          <w:rFonts w:ascii="Calibri" w:hAnsi="Calibri" w:cs="Calibri"/>
          <w:sz w:val="20"/>
          <w:szCs w:val="20"/>
        </w:rPr>
        <w:t xml:space="preserve">systems </w:t>
      </w:r>
      <w:r w:rsidR="001C1A64">
        <w:rPr>
          <w:rFonts w:ascii="Calibri" w:hAnsi="Calibri" w:cs="Calibri"/>
          <w:sz w:val="20"/>
          <w:szCs w:val="20"/>
        </w:rPr>
        <w:t>has the potential to</w:t>
      </w:r>
      <w:r w:rsidR="00C825D9" w:rsidRPr="00C825D9">
        <w:rPr>
          <w:rFonts w:ascii="Calibri" w:hAnsi="Calibri" w:cs="Calibri"/>
          <w:sz w:val="20"/>
          <w:szCs w:val="20"/>
        </w:rPr>
        <w:t xml:space="preserve"> </w:t>
      </w:r>
      <w:r w:rsidR="00516321">
        <w:rPr>
          <w:rFonts w:ascii="Calibri" w:hAnsi="Calibri" w:cs="Calibri"/>
          <w:sz w:val="20"/>
          <w:szCs w:val="20"/>
        </w:rPr>
        <w:t>further</w:t>
      </w:r>
      <w:r w:rsidR="00C825D9" w:rsidRPr="00C825D9">
        <w:rPr>
          <w:rFonts w:ascii="Calibri" w:hAnsi="Calibri" w:cs="Calibri"/>
          <w:sz w:val="20"/>
          <w:szCs w:val="20"/>
        </w:rPr>
        <w:t xml:space="preserve"> the practical application of </w:t>
      </w:r>
      <w:r w:rsidR="00C825D9" w:rsidRPr="00C825D9">
        <w:rPr>
          <w:rFonts w:ascii="Calibri" w:eastAsia="Times New Roman" w:hAnsi="Calibri" w:cs="Calibri"/>
          <w:color w:val="000000" w:themeColor="text1"/>
          <w:sz w:val="20"/>
          <w:szCs w:val="20"/>
        </w:rPr>
        <w:t>CYP2C19 testing.</w:t>
      </w:r>
    </w:p>
    <w:sectPr w:rsidR="00914BCF" w:rsidRPr="007E7D9A" w:rsidSect="00BB7CCE">
      <w:pgSz w:w="11906" w:h="8391"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071E1" w14:textId="77777777" w:rsidR="000E10FF" w:rsidRDefault="000E10FF" w:rsidP="00E548ED">
      <w:r>
        <w:separator/>
      </w:r>
    </w:p>
  </w:endnote>
  <w:endnote w:type="continuationSeparator" w:id="0">
    <w:p w14:paraId="413E0B50" w14:textId="77777777" w:rsidR="000E10FF" w:rsidRDefault="000E10FF" w:rsidP="00E5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EBE36" w14:textId="77777777" w:rsidR="000E10FF" w:rsidRDefault="000E10FF" w:rsidP="00E548ED">
      <w:r>
        <w:separator/>
      </w:r>
    </w:p>
  </w:footnote>
  <w:footnote w:type="continuationSeparator" w:id="0">
    <w:p w14:paraId="376A6F5B" w14:textId="77777777" w:rsidR="000E10FF" w:rsidRDefault="000E10FF" w:rsidP="00E54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CE"/>
    <w:rsid w:val="00046120"/>
    <w:rsid w:val="000512DE"/>
    <w:rsid w:val="00051AB1"/>
    <w:rsid w:val="0005646E"/>
    <w:rsid w:val="0006183E"/>
    <w:rsid w:val="00063DC7"/>
    <w:rsid w:val="00072E9B"/>
    <w:rsid w:val="00095D7D"/>
    <w:rsid w:val="000A3F45"/>
    <w:rsid w:val="000D6070"/>
    <w:rsid w:val="000E10FF"/>
    <w:rsid w:val="000E1C00"/>
    <w:rsid w:val="000E5685"/>
    <w:rsid w:val="000E7412"/>
    <w:rsid w:val="000F2371"/>
    <w:rsid w:val="00123042"/>
    <w:rsid w:val="001362DC"/>
    <w:rsid w:val="001750F4"/>
    <w:rsid w:val="00184E3A"/>
    <w:rsid w:val="00185B8A"/>
    <w:rsid w:val="001955D6"/>
    <w:rsid w:val="001A7BD1"/>
    <w:rsid w:val="001B7E5B"/>
    <w:rsid w:val="001C1A64"/>
    <w:rsid w:val="001F6503"/>
    <w:rsid w:val="00213953"/>
    <w:rsid w:val="0021398A"/>
    <w:rsid w:val="002225DF"/>
    <w:rsid w:val="00241A96"/>
    <w:rsid w:val="002436DD"/>
    <w:rsid w:val="00275E4D"/>
    <w:rsid w:val="00277F32"/>
    <w:rsid w:val="00285600"/>
    <w:rsid w:val="002956CF"/>
    <w:rsid w:val="002C2ED5"/>
    <w:rsid w:val="002F69F2"/>
    <w:rsid w:val="003017C8"/>
    <w:rsid w:val="003151F7"/>
    <w:rsid w:val="00336976"/>
    <w:rsid w:val="0034356F"/>
    <w:rsid w:val="00346412"/>
    <w:rsid w:val="003478C2"/>
    <w:rsid w:val="0035420A"/>
    <w:rsid w:val="0037574C"/>
    <w:rsid w:val="0039550E"/>
    <w:rsid w:val="0041083A"/>
    <w:rsid w:val="004160F7"/>
    <w:rsid w:val="004322FB"/>
    <w:rsid w:val="00435F26"/>
    <w:rsid w:val="00451EE5"/>
    <w:rsid w:val="00454DE7"/>
    <w:rsid w:val="004D6007"/>
    <w:rsid w:val="004E0050"/>
    <w:rsid w:val="004F7E91"/>
    <w:rsid w:val="00502158"/>
    <w:rsid w:val="005040A1"/>
    <w:rsid w:val="00516321"/>
    <w:rsid w:val="00521A7B"/>
    <w:rsid w:val="00523EAE"/>
    <w:rsid w:val="00532E77"/>
    <w:rsid w:val="00544491"/>
    <w:rsid w:val="00562180"/>
    <w:rsid w:val="00564B56"/>
    <w:rsid w:val="00584A7F"/>
    <w:rsid w:val="005D3457"/>
    <w:rsid w:val="00621DF7"/>
    <w:rsid w:val="00667D9C"/>
    <w:rsid w:val="006956BB"/>
    <w:rsid w:val="006A5AE8"/>
    <w:rsid w:val="006E390B"/>
    <w:rsid w:val="007160C7"/>
    <w:rsid w:val="00726F66"/>
    <w:rsid w:val="0075707A"/>
    <w:rsid w:val="007632D7"/>
    <w:rsid w:val="007634CB"/>
    <w:rsid w:val="007A26B4"/>
    <w:rsid w:val="007B3D18"/>
    <w:rsid w:val="007B5078"/>
    <w:rsid w:val="007D2999"/>
    <w:rsid w:val="007E7D9A"/>
    <w:rsid w:val="007F3E09"/>
    <w:rsid w:val="00800D0C"/>
    <w:rsid w:val="0084365D"/>
    <w:rsid w:val="008441E3"/>
    <w:rsid w:val="00844F7D"/>
    <w:rsid w:val="00862FB3"/>
    <w:rsid w:val="00865C49"/>
    <w:rsid w:val="008C3455"/>
    <w:rsid w:val="008D6EB0"/>
    <w:rsid w:val="008E3AFC"/>
    <w:rsid w:val="008F25CC"/>
    <w:rsid w:val="008F3931"/>
    <w:rsid w:val="00914BCF"/>
    <w:rsid w:val="00934CD9"/>
    <w:rsid w:val="0095059C"/>
    <w:rsid w:val="009B6934"/>
    <w:rsid w:val="009C0220"/>
    <w:rsid w:val="009F5D78"/>
    <w:rsid w:val="00A146A1"/>
    <w:rsid w:val="00A3622D"/>
    <w:rsid w:val="00A5409D"/>
    <w:rsid w:val="00A66463"/>
    <w:rsid w:val="00A82533"/>
    <w:rsid w:val="00AC6BC6"/>
    <w:rsid w:val="00AD710C"/>
    <w:rsid w:val="00AE7311"/>
    <w:rsid w:val="00AF2F14"/>
    <w:rsid w:val="00B008DD"/>
    <w:rsid w:val="00B570E5"/>
    <w:rsid w:val="00B64F87"/>
    <w:rsid w:val="00B74472"/>
    <w:rsid w:val="00B8195F"/>
    <w:rsid w:val="00B83A92"/>
    <w:rsid w:val="00BB7CCE"/>
    <w:rsid w:val="00BE4A16"/>
    <w:rsid w:val="00BF0B0C"/>
    <w:rsid w:val="00BF47D8"/>
    <w:rsid w:val="00C10424"/>
    <w:rsid w:val="00C267DD"/>
    <w:rsid w:val="00C33546"/>
    <w:rsid w:val="00C825D9"/>
    <w:rsid w:val="00CE3598"/>
    <w:rsid w:val="00CE4FFC"/>
    <w:rsid w:val="00D1080D"/>
    <w:rsid w:val="00D2437B"/>
    <w:rsid w:val="00D27E33"/>
    <w:rsid w:val="00D34F71"/>
    <w:rsid w:val="00D54DCD"/>
    <w:rsid w:val="00D83BA0"/>
    <w:rsid w:val="00DB641A"/>
    <w:rsid w:val="00DC6BE5"/>
    <w:rsid w:val="00DD141E"/>
    <w:rsid w:val="00DD162C"/>
    <w:rsid w:val="00DF6CAC"/>
    <w:rsid w:val="00E115C2"/>
    <w:rsid w:val="00E27FBC"/>
    <w:rsid w:val="00E508B5"/>
    <w:rsid w:val="00E525FF"/>
    <w:rsid w:val="00E548ED"/>
    <w:rsid w:val="00E6784B"/>
    <w:rsid w:val="00E9136B"/>
    <w:rsid w:val="00EA3392"/>
    <w:rsid w:val="00EC24AE"/>
    <w:rsid w:val="00EC692E"/>
    <w:rsid w:val="00F03085"/>
    <w:rsid w:val="00F129C4"/>
    <w:rsid w:val="00F2029B"/>
    <w:rsid w:val="00F208BC"/>
    <w:rsid w:val="00F22A38"/>
    <w:rsid w:val="00F24927"/>
    <w:rsid w:val="00F27748"/>
    <w:rsid w:val="00F31089"/>
    <w:rsid w:val="00F31DFC"/>
    <w:rsid w:val="00F54B64"/>
    <w:rsid w:val="00F6071E"/>
    <w:rsid w:val="00F64D8C"/>
    <w:rsid w:val="00F82121"/>
    <w:rsid w:val="00F947FD"/>
    <w:rsid w:val="00FA280C"/>
    <w:rsid w:val="00FA3BB6"/>
    <w:rsid w:val="00FB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44775EF"/>
  <w15:chartTrackingRefBased/>
  <w15:docId w15:val="{49D3EDEA-D2E7-5144-8890-ED0D7708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C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C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C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C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C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C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C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C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C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C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CCE"/>
    <w:rPr>
      <w:rFonts w:eastAsiaTheme="majorEastAsia" w:cstheme="majorBidi"/>
      <w:color w:val="272727" w:themeColor="text1" w:themeTint="D8"/>
    </w:rPr>
  </w:style>
  <w:style w:type="paragraph" w:styleId="Title">
    <w:name w:val="Title"/>
    <w:basedOn w:val="Normal"/>
    <w:next w:val="Normal"/>
    <w:link w:val="TitleChar"/>
    <w:uiPriority w:val="10"/>
    <w:qFormat/>
    <w:rsid w:val="00BB7C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C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C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7CCE"/>
    <w:rPr>
      <w:i/>
      <w:iCs/>
      <w:color w:val="404040" w:themeColor="text1" w:themeTint="BF"/>
    </w:rPr>
  </w:style>
  <w:style w:type="paragraph" w:styleId="ListParagraph">
    <w:name w:val="List Paragraph"/>
    <w:basedOn w:val="Normal"/>
    <w:uiPriority w:val="34"/>
    <w:qFormat/>
    <w:rsid w:val="00BB7CCE"/>
    <w:pPr>
      <w:ind w:left="720"/>
      <w:contextualSpacing/>
    </w:pPr>
  </w:style>
  <w:style w:type="character" w:styleId="IntenseEmphasis">
    <w:name w:val="Intense Emphasis"/>
    <w:basedOn w:val="DefaultParagraphFont"/>
    <w:uiPriority w:val="21"/>
    <w:qFormat/>
    <w:rsid w:val="00BB7CCE"/>
    <w:rPr>
      <w:i/>
      <w:iCs/>
      <w:color w:val="0F4761" w:themeColor="accent1" w:themeShade="BF"/>
    </w:rPr>
  </w:style>
  <w:style w:type="paragraph" w:styleId="IntenseQuote">
    <w:name w:val="Intense Quote"/>
    <w:basedOn w:val="Normal"/>
    <w:next w:val="Normal"/>
    <w:link w:val="IntenseQuoteChar"/>
    <w:uiPriority w:val="30"/>
    <w:qFormat/>
    <w:rsid w:val="00BB7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CCE"/>
    <w:rPr>
      <w:i/>
      <w:iCs/>
      <w:color w:val="0F4761" w:themeColor="accent1" w:themeShade="BF"/>
    </w:rPr>
  </w:style>
  <w:style w:type="character" w:styleId="IntenseReference">
    <w:name w:val="Intense Reference"/>
    <w:basedOn w:val="DefaultParagraphFont"/>
    <w:uiPriority w:val="32"/>
    <w:qFormat/>
    <w:rsid w:val="00BB7CCE"/>
    <w:rPr>
      <w:b/>
      <w:bCs/>
      <w:smallCaps/>
      <w:color w:val="0F4761" w:themeColor="accent1" w:themeShade="BF"/>
      <w:spacing w:val="5"/>
    </w:rPr>
  </w:style>
  <w:style w:type="character" w:styleId="CommentReference">
    <w:name w:val="annotation reference"/>
    <w:basedOn w:val="DefaultParagraphFont"/>
    <w:uiPriority w:val="99"/>
    <w:semiHidden/>
    <w:unhideWhenUsed/>
    <w:rsid w:val="00BE4A16"/>
    <w:rPr>
      <w:sz w:val="16"/>
      <w:szCs w:val="16"/>
    </w:rPr>
  </w:style>
  <w:style w:type="paragraph" w:styleId="CommentText">
    <w:name w:val="annotation text"/>
    <w:basedOn w:val="Normal"/>
    <w:link w:val="CommentTextChar"/>
    <w:uiPriority w:val="99"/>
    <w:semiHidden/>
    <w:unhideWhenUsed/>
    <w:rsid w:val="00BE4A16"/>
    <w:rPr>
      <w:sz w:val="20"/>
      <w:szCs w:val="20"/>
    </w:rPr>
  </w:style>
  <w:style w:type="character" w:customStyle="1" w:styleId="CommentTextChar">
    <w:name w:val="Comment Text Char"/>
    <w:basedOn w:val="DefaultParagraphFont"/>
    <w:link w:val="CommentText"/>
    <w:uiPriority w:val="99"/>
    <w:semiHidden/>
    <w:rsid w:val="00BE4A16"/>
    <w:rPr>
      <w:sz w:val="20"/>
      <w:szCs w:val="20"/>
    </w:rPr>
  </w:style>
  <w:style w:type="paragraph" w:styleId="CommentSubject">
    <w:name w:val="annotation subject"/>
    <w:basedOn w:val="CommentText"/>
    <w:next w:val="CommentText"/>
    <w:link w:val="CommentSubjectChar"/>
    <w:uiPriority w:val="99"/>
    <w:semiHidden/>
    <w:unhideWhenUsed/>
    <w:rsid w:val="00BE4A16"/>
    <w:rPr>
      <w:b/>
      <w:bCs/>
    </w:rPr>
  </w:style>
  <w:style w:type="character" w:customStyle="1" w:styleId="CommentSubjectChar">
    <w:name w:val="Comment Subject Char"/>
    <w:basedOn w:val="CommentTextChar"/>
    <w:link w:val="CommentSubject"/>
    <w:uiPriority w:val="99"/>
    <w:semiHidden/>
    <w:rsid w:val="00BE4A16"/>
    <w:rPr>
      <w:b/>
      <w:bCs/>
      <w:sz w:val="20"/>
      <w:szCs w:val="20"/>
    </w:rPr>
  </w:style>
  <w:style w:type="paragraph" w:styleId="Header">
    <w:name w:val="header"/>
    <w:basedOn w:val="Normal"/>
    <w:link w:val="HeaderChar"/>
    <w:uiPriority w:val="99"/>
    <w:unhideWhenUsed/>
    <w:rsid w:val="00E548ED"/>
    <w:pPr>
      <w:tabs>
        <w:tab w:val="center" w:pos="4513"/>
        <w:tab w:val="right" w:pos="9026"/>
      </w:tabs>
    </w:pPr>
  </w:style>
  <w:style w:type="character" w:customStyle="1" w:styleId="HeaderChar">
    <w:name w:val="Header Char"/>
    <w:basedOn w:val="DefaultParagraphFont"/>
    <w:link w:val="Header"/>
    <w:uiPriority w:val="99"/>
    <w:rsid w:val="00E548ED"/>
  </w:style>
  <w:style w:type="paragraph" w:styleId="Footer">
    <w:name w:val="footer"/>
    <w:basedOn w:val="Normal"/>
    <w:link w:val="FooterChar"/>
    <w:uiPriority w:val="99"/>
    <w:unhideWhenUsed/>
    <w:rsid w:val="00E548ED"/>
    <w:pPr>
      <w:tabs>
        <w:tab w:val="center" w:pos="4513"/>
        <w:tab w:val="right" w:pos="9026"/>
      </w:tabs>
    </w:pPr>
  </w:style>
  <w:style w:type="character" w:customStyle="1" w:styleId="FooterChar">
    <w:name w:val="Footer Char"/>
    <w:basedOn w:val="DefaultParagraphFont"/>
    <w:link w:val="Footer"/>
    <w:uiPriority w:val="99"/>
    <w:rsid w:val="00E5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88</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Tark Patel</dc:creator>
  <cp:keywords/>
  <dc:description/>
  <cp:lastModifiedBy>Tark Patel</cp:lastModifiedBy>
  <cp:revision>21</cp:revision>
  <dcterms:created xsi:type="dcterms:W3CDTF">2024-08-21T23:46:00Z</dcterms:created>
  <dcterms:modified xsi:type="dcterms:W3CDTF">2024-09-02T01:13:00Z</dcterms:modified>
</cp:coreProperties>
</file>