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101" w:rsidRPr="00784101" w:rsidRDefault="00784101" w:rsidP="00784101">
      <w:pPr>
        <w:spacing w:after="0" w:line="240" w:lineRule="auto"/>
        <w:jc w:val="both"/>
        <w:rPr>
          <w:rFonts w:ascii="Calibri" w:eastAsia="等线" w:hAnsi="Calibri" w:cs="Calibri"/>
          <w:b/>
          <w:sz w:val="20"/>
          <w:szCs w:val="20"/>
          <w:lang w:val="en-AU"/>
        </w:rPr>
      </w:pPr>
      <w:r w:rsidRPr="00784101">
        <w:rPr>
          <w:rFonts w:ascii="Calibri" w:eastAsia="等线" w:hAnsi="Calibri" w:cs="Calibri"/>
          <w:b/>
          <w:sz w:val="20"/>
          <w:szCs w:val="20"/>
          <w:lang w:val="en-AU"/>
        </w:rPr>
        <w:t>Regulation of enzymatic lipid peroxidation in osteoblasts protects against postmenopausal osteoporosis</w:t>
      </w:r>
    </w:p>
    <w:p w:rsidR="00784101" w:rsidRPr="00784101" w:rsidRDefault="00784101" w:rsidP="00784101">
      <w:pPr>
        <w:spacing w:after="0" w:line="240" w:lineRule="auto"/>
        <w:jc w:val="both"/>
        <w:rPr>
          <w:rFonts w:ascii="Calibri" w:eastAsia="等线" w:hAnsi="Calibri" w:cs="Calibri"/>
          <w:sz w:val="20"/>
          <w:szCs w:val="20"/>
          <w:lang w:val="en-AU"/>
        </w:rPr>
      </w:pPr>
      <w:proofErr w:type="spellStart"/>
      <w:r w:rsidRPr="00784101">
        <w:rPr>
          <w:rFonts w:ascii="Calibri" w:eastAsia="等线" w:hAnsi="Calibri" w:cs="Calibri"/>
          <w:sz w:val="20"/>
          <w:szCs w:val="20"/>
          <w:lang w:val="en-AU"/>
        </w:rPr>
        <w:t>Qiong</w:t>
      </w:r>
      <w:proofErr w:type="spellEnd"/>
      <w:r w:rsidRPr="00784101">
        <w:rPr>
          <w:rFonts w:ascii="Calibri" w:eastAsia="等线" w:hAnsi="Calibri" w:cs="Calibri"/>
          <w:sz w:val="20"/>
          <w:szCs w:val="20"/>
          <w:lang w:val="en-AU"/>
        </w:rPr>
        <w:t>-Yi Zhang, Rong-Rong He, Yi-Fang Li</w:t>
      </w:r>
      <w:r w:rsidRPr="00784101">
        <w:rPr>
          <w:rFonts w:ascii="Calibri" w:eastAsia="等线" w:hAnsi="Calibri" w:cs="Calibri" w:hint="eastAsia"/>
          <w:sz w:val="20"/>
          <w:szCs w:val="20"/>
          <w:lang w:val="en-AU" w:eastAsia="zh-CN"/>
        </w:rPr>
        <w:t xml:space="preserve">. </w:t>
      </w:r>
      <w:r w:rsidRPr="00784101">
        <w:rPr>
          <w:rFonts w:ascii="Calibri" w:eastAsia="等线" w:hAnsi="Calibri" w:cs="Calibri"/>
          <w:sz w:val="20"/>
          <w:szCs w:val="20"/>
          <w:lang w:val="en-AU"/>
        </w:rPr>
        <w:t xml:space="preserve">College of Pharmacy, Jinan University, Guangzhou, China </w:t>
      </w:r>
    </w:p>
    <w:p w:rsidR="00784101" w:rsidRPr="00784101" w:rsidRDefault="00784101" w:rsidP="0078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AU"/>
        </w:rPr>
      </w:pPr>
      <w:r w:rsidRPr="00784101">
        <w:rPr>
          <w:rFonts w:ascii="Calibri" w:eastAsia="Calibri" w:hAnsi="Calibri" w:cs="Calibri"/>
          <w:i/>
          <w:sz w:val="20"/>
          <w:szCs w:val="20"/>
        </w:rPr>
        <w:t xml:space="preserve"> </w:t>
      </w:r>
    </w:p>
    <w:p w:rsidR="00784101" w:rsidRPr="00784101" w:rsidRDefault="00C758F4" w:rsidP="002C1BF5">
      <w:pPr>
        <w:spacing w:after="0" w:line="240" w:lineRule="auto"/>
        <w:jc w:val="both"/>
        <w:rPr>
          <w:rFonts w:ascii="Calibri" w:eastAsia="等线" w:hAnsi="Calibri" w:cs="Calibri"/>
          <w:sz w:val="20"/>
          <w:szCs w:val="20"/>
          <w:lang w:val="en-AU"/>
        </w:rPr>
      </w:pPr>
      <w:r w:rsidRPr="00784101"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3246524</wp:posOffset>
            </wp:positionH>
            <wp:positionV relativeFrom="paragraph">
              <wp:posOffset>46355</wp:posOffset>
            </wp:positionV>
            <wp:extent cx="2880000" cy="2074818"/>
            <wp:effectExtent l="0" t="0" r="0" b="1905"/>
            <wp:wrapTight wrapText="bothSides">
              <wp:wrapPolygon edited="0">
                <wp:start x="0" y="0"/>
                <wp:lineTo x="0" y="21421"/>
                <wp:lineTo x="21433" y="21421"/>
                <wp:lineTo x="2143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7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101" w:rsidRPr="00784101">
        <w:rPr>
          <w:rFonts w:ascii="Calibri" w:eastAsia="等线" w:hAnsi="Calibri" w:cs="Calibri"/>
          <w:b/>
          <w:bCs/>
          <w:sz w:val="20"/>
          <w:szCs w:val="20"/>
          <w:lang w:val="en-AU"/>
        </w:rPr>
        <w:t>Introduction.</w:t>
      </w:r>
      <w:r w:rsidR="00784101" w:rsidRPr="00784101">
        <w:rPr>
          <w:rFonts w:ascii="Calibri" w:eastAsia="等线" w:hAnsi="Calibri" w:cs="Calibri"/>
          <w:sz w:val="20"/>
          <w:szCs w:val="20"/>
          <w:lang w:val="en-AU"/>
        </w:rPr>
        <w:t xml:space="preserve"> </w:t>
      </w:r>
      <w:r w:rsidR="002C1BF5" w:rsidRPr="002C1BF5">
        <w:rPr>
          <w:rFonts w:ascii="Calibri" w:eastAsia="等线" w:hAnsi="Calibri" w:cs="Calibri"/>
          <w:sz w:val="20"/>
          <w:szCs w:val="20"/>
          <w:lang w:val="en-AU"/>
        </w:rPr>
        <w:t>Oxidative stress plays a critical role in postmenopausal osteoporosis, yet its</w:t>
      </w:r>
      <w:r w:rsidR="002C1BF5">
        <w:rPr>
          <w:rFonts w:ascii="Calibri" w:eastAsia="等线" w:hAnsi="Calibri" w:cs="Calibri"/>
          <w:sz w:val="20"/>
          <w:szCs w:val="20"/>
          <w:lang w:val="en-AU"/>
        </w:rPr>
        <w:t xml:space="preserve"> </w:t>
      </w:r>
      <w:bookmarkStart w:id="0" w:name="_GoBack"/>
      <w:bookmarkEnd w:id="0"/>
      <w:r w:rsidR="002C1BF5" w:rsidRPr="002C1BF5">
        <w:rPr>
          <w:rFonts w:ascii="Calibri" w:eastAsia="等线" w:hAnsi="Calibri" w:cs="Calibri"/>
          <w:sz w:val="20"/>
          <w:szCs w:val="20"/>
          <w:lang w:val="en-AU"/>
        </w:rPr>
        <w:t>impact on osteoblasts remains underexplored, limiting therapeutic advances</w:t>
      </w:r>
      <w:r w:rsidR="00784101" w:rsidRPr="00784101">
        <w:rPr>
          <w:rFonts w:ascii="Calibri" w:eastAsia="等线" w:hAnsi="Calibri" w:cs="Calibri"/>
          <w:sz w:val="20"/>
          <w:szCs w:val="20"/>
          <w:lang w:val="en-AU"/>
        </w:rPr>
        <w:t>.</w:t>
      </w:r>
    </w:p>
    <w:p w:rsidR="00784101" w:rsidRPr="00784101" w:rsidRDefault="00784101" w:rsidP="00784101">
      <w:pPr>
        <w:spacing w:after="0" w:line="240" w:lineRule="auto"/>
        <w:jc w:val="both"/>
        <w:rPr>
          <w:rFonts w:ascii="Calibri" w:eastAsia="等线" w:hAnsi="Calibri" w:cs="Calibri"/>
          <w:sz w:val="20"/>
          <w:szCs w:val="20"/>
        </w:rPr>
      </w:pPr>
      <w:r w:rsidRPr="00784101">
        <w:rPr>
          <w:rFonts w:ascii="Calibri" w:eastAsia="等线" w:hAnsi="Calibri" w:cs="Calibri"/>
          <w:b/>
          <w:bCs/>
          <w:sz w:val="20"/>
          <w:szCs w:val="20"/>
          <w:lang w:val="en-AU"/>
        </w:rPr>
        <w:t>Aims</w:t>
      </w:r>
      <w:r w:rsidRPr="00784101">
        <w:rPr>
          <w:rFonts w:ascii="Calibri" w:eastAsia="等线" w:hAnsi="Calibri" w:cs="Calibri"/>
          <w:sz w:val="20"/>
          <w:szCs w:val="20"/>
          <w:lang w:val="en-AU"/>
        </w:rPr>
        <w:t xml:space="preserve">. </w:t>
      </w:r>
      <w:r w:rsidR="00C758F4" w:rsidRPr="00C758F4">
        <w:rPr>
          <w:rFonts w:ascii="Calibri" w:eastAsia="等线" w:hAnsi="Calibri" w:cs="Calibri"/>
          <w:sz w:val="20"/>
          <w:szCs w:val="20"/>
        </w:rPr>
        <w:t>To clarify the role and mechanism of osteoblast phospholipid peroxidation in postmenopausal osteoporosis and explore potential therapeutic strategies.</w:t>
      </w:r>
    </w:p>
    <w:p w:rsidR="00784101" w:rsidRPr="00784101" w:rsidRDefault="00784101" w:rsidP="00784101">
      <w:pPr>
        <w:spacing w:after="0" w:line="240" w:lineRule="auto"/>
        <w:jc w:val="both"/>
        <w:rPr>
          <w:rFonts w:ascii="Calibri" w:eastAsia="等线" w:hAnsi="Calibri" w:cs="Calibri"/>
          <w:sz w:val="20"/>
          <w:szCs w:val="20"/>
          <w:lang w:val="en-AU"/>
        </w:rPr>
      </w:pPr>
      <w:r w:rsidRPr="00784101">
        <w:rPr>
          <w:rFonts w:ascii="Calibri" w:eastAsia="等线" w:hAnsi="Calibri" w:cs="Calibri"/>
          <w:b/>
          <w:bCs/>
          <w:sz w:val="20"/>
          <w:szCs w:val="20"/>
          <w:lang w:val="en-AU"/>
        </w:rPr>
        <w:t>Methods</w:t>
      </w:r>
      <w:r w:rsidRPr="00784101">
        <w:rPr>
          <w:rFonts w:ascii="Calibri" w:eastAsia="等线" w:hAnsi="Calibri" w:cs="Calibri"/>
          <w:sz w:val="20"/>
          <w:szCs w:val="20"/>
          <w:lang w:val="en-AU"/>
        </w:rPr>
        <w:t xml:space="preserve">. </w:t>
      </w:r>
      <w:r w:rsidR="002C1BF5" w:rsidRPr="002C1BF5">
        <w:rPr>
          <w:rFonts w:ascii="Calibri" w:eastAsia="等线" w:hAnsi="Calibri" w:cs="Calibri"/>
          <w:sz w:val="20"/>
          <w:szCs w:val="20"/>
        </w:rPr>
        <w:t xml:space="preserve">Clinical bone specimens, ovariectomized and aged mouse models, osteoblast-specific GPX4 knockout, oxidized </w:t>
      </w:r>
      <w:proofErr w:type="spellStart"/>
      <w:r w:rsidR="002C1BF5" w:rsidRPr="002C1BF5">
        <w:rPr>
          <w:rFonts w:ascii="Calibri" w:eastAsia="等线" w:hAnsi="Calibri" w:cs="Calibri"/>
          <w:sz w:val="20"/>
          <w:szCs w:val="20"/>
        </w:rPr>
        <w:t>phospholipidomics</w:t>
      </w:r>
      <w:proofErr w:type="spellEnd"/>
      <w:r w:rsidR="002C1BF5" w:rsidRPr="002C1BF5">
        <w:rPr>
          <w:rFonts w:ascii="Calibri" w:eastAsia="等线" w:hAnsi="Calibri" w:cs="Calibri"/>
          <w:sz w:val="20"/>
          <w:szCs w:val="20"/>
        </w:rPr>
        <w:t>,</w:t>
      </w:r>
      <w:r w:rsidR="002C1BF5">
        <w:rPr>
          <w:rFonts w:ascii="Calibri" w:eastAsia="等线" w:hAnsi="Calibri" w:cs="Calibri"/>
          <w:sz w:val="20"/>
          <w:szCs w:val="20"/>
        </w:rPr>
        <w:t xml:space="preserve"> </w:t>
      </w:r>
      <w:r w:rsidR="002C1BF5" w:rsidRPr="002C1BF5">
        <w:rPr>
          <w:rFonts w:ascii="Calibri" w:eastAsia="等线" w:hAnsi="Calibri" w:cs="Calibri"/>
          <w:sz w:val="20"/>
          <w:szCs w:val="20"/>
        </w:rPr>
        <w:t>and molecular mechanistic assays were employed to investigate phospholipid peroxidation in osteoporosis</w:t>
      </w:r>
      <w:r w:rsidR="00C758F4" w:rsidRPr="00C758F4">
        <w:rPr>
          <w:rFonts w:ascii="Calibri" w:eastAsia="等线" w:hAnsi="Calibri" w:cs="Calibri"/>
          <w:sz w:val="20"/>
          <w:szCs w:val="20"/>
        </w:rPr>
        <w:t>.</w:t>
      </w:r>
    </w:p>
    <w:p w:rsidR="00784101" w:rsidRPr="00784101" w:rsidRDefault="00784101" w:rsidP="00784101">
      <w:pPr>
        <w:spacing w:after="0" w:line="240" w:lineRule="auto"/>
        <w:jc w:val="both"/>
        <w:rPr>
          <w:rFonts w:ascii="Calibri" w:eastAsia="等线" w:hAnsi="Calibri" w:cs="Calibri"/>
          <w:sz w:val="20"/>
          <w:szCs w:val="20"/>
          <w:lang w:val="en-AU"/>
        </w:rPr>
      </w:pPr>
      <w:r w:rsidRPr="00784101">
        <w:rPr>
          <w:rFonts w:ascii="Calibri" w:eastAsia="等线" w:hAnsi="Calibri" w:cs="Calibri"/>
          <w:b/>
          <w:bCs/>
          <w:sz w:val="20"/>
          <w:szCs w:val="20"/>
          <w:lang w:val="en-AU"/>
        </w:rPr>
        <w:t>Results.</w:t>
      </w:r>
      <w:r w:rsidRPr="00784101">
        <w:rPr>
          <w:rFonts w:ascii="Calibri" w:eastAsia="等线" w:hAnsi="Calibri" w:cs="Calibri"/>
          <w:sz w:val="20"/>
          <w:szCs w:val="20"/>
          <w:lang w:val="en-AU"/>
        </w:rPr>
        <w:t xml:space="preserve"> </w:t>
      </w:r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 xml:space="preserve">Phospholipid peroxidation was elevated in osteoporotic bone, particularly in osteoblasts. Estrogen upregulated GPX4 via ERβ, while estrogen deficiency reduced GPX4 and increased </w:t>
      </w:r>
      <w:proofErr w:type="spellStart"/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>oxPLs</w:t>
      </w:r>
      <w:proofErr w:type="spellEnd"/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 xml:space="preserve">. GPX4 loss or impairment suppressed </w:t>
      </w:r>
      <w:proofErr w:type="spellStart"/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>osteoblastogenesis</w:t>
      </w:r>
      <w:proofErr w:type="spellEnd"/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 xml:space="preserve"> and bone formation. Mechanistically, 4</w:t>
      </w:r>
      <w:r w:rsidR="00AE04E2" w:rsidRPr="00AE04E2">
        <w:rPr>
          <w:rFonts w:ascii="Cambria Math" w:eastAsia="等线" w:hAnsi="Cambria Math" w:cs="Cambria Math"/>
          <w:sz w:val="20"/>
          <w:szCs w:val="20"/>
          <w:lang w:val="en-AU"/>
        </w:rPr>
        <w:t>‑</w:t>
      </w:r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 xml:space="preserve">HNE promoted ILK degradation, suppressed RUNX2 </w:t>
      </w:r>
      <w:proofErr w:type="spellStart"/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>signaling</w:t>
      </w:r>
      <w:proofErr w:type="spellEnd"/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>, and inhibited osteogenic differentiation. 6</w:t>
      </w:r>
      <w:r w:rsidR="00AE04E2" w:rsidRPr="00AE04E2">
        <w:rPr>
          <w:rFonts w:ascii="Cambria Math" w:eastAsia="等线" w:hAnsi="Cambria Math" w:cs="Cambria Math"/>
          <w:sz w:val="20"/>
          <w:szCs w:val="20"/>
          <w:lang w:val="en-AU"/>
        </w:rPr>
        <w:t>‑</w:t>
      </w:r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>Gingerol and 8</w:t>
      </w:r>
      <w:r w:rsidR="00AE04E2" w:rsidRPr="00AE04E2">
        <w:rPr>
          <w:rFonts w:ascii="Cambria Math" w:eastAsia="等线" w:hAnsi="Cambria Math" w:cs="Cambria Math"/>
          <w:sz w:val="20"/>
          <w:szCs w:val="20"/>
          <w:lang w:val="en-AU"/>
        </w:rPr>
        <w:t>‑</w:t>
      </w:r>
      <w:r w:rsidR="00AE04E2" w:rsidRPr="00AE04E2">
        <w:rPr>
          <w:rFonts w:ascii="Calibri" w:eastAsia="等线" w:hAnsi="Calibri" w:cs="Calibri"/>
          <w:sz w:val="20"/>
          <w:szCs w:val="20"/>
          <w:lang w:val="en-AU"/>
        </w:rPr>
        <w:t>Gingerol acted as natural allosteric GPX4 activators, restoring osteoblast function and mitigating bone loss</w:t>
      </w:r>
      <w:r w:rsidRPr="00784101">
        <w:rPr>
          <w:rFonts w:ascii="Calibri" w:eastAsia="等线" w:hAnsi="Calibri" w:cs="Calibri"/>
          <w:sz w:val="20"/>
          <w:szCs w:val="20"/>
          <w:lang w:val="en-AU"/>
        </w:rPr>
        <w:t>.</w:t>
      </w:r>
    </w:p>
    <w:p w:rsidR="00784101" w:rsidRPr="00784101" w:rsidRDefault="00784101" w:rsidP="00784101">
      <w:pPr>
        <w:spacing w:after="0" w:line="240" w:lineRule="auto"/>
        <w:jc w:val="both"/>
        <w:rPr>
          <w:rFonts w:ascii="Calibri" w:eastAsia="等线" w:hAnsi="Calibri" w:cs="Calibri"/>
          <w:sz w:val="20"/>
          <w:szCs w:val="20"/>
          <w:lang w:val="en-AU"/>
        </w:rPr>
      </w:pPr>
      <w:r w:rsidRPr="00784101">
        <w:rPr>
          <w:rFonts w:ascii="Calibri" w:eastAsia="等线" w:hAnsi="Calibri" w:cs="Calibri"/>
          <w:b/>
          <w:bCs/>
          <w:sz w:val="20"/>
          <w:szCs w:val="20"/>
          <w:lang w:val="en-AU"/>
        </w:rPr>
        <w:t>Discussion.</w:t>
      </w:r>
      <w:r w:rsidRPr="00784101">
        <w:rPr>
          <w:rFonts w:ascii="Calibri" w:eastAsia="等线" w:hAnsi="Calibri" w:cs="Calibri"/>
          <w:sz w:val="20"/>
          <w:szCs w:val="20"/>
          <w:lang w:val="en-AU"/>
        </w:rPr>
        <w:t xml:space="preserve"> </w:t>
      </w:r>
      <w:r w:rsidR="00C758F4" w:rsidRPr="00C758F4">
        <w:rPr>
          <w:rFonts w:ascii="Calibri" w:eastAsia="等线" w:hAnsi="Calibri" w:cs="Calibri"/>
          <w:sz w:val="20"/>
          <w:szCs w:val="20"/>
        </w:rPr>
        <w:t>This study identifies osteoblast phospholipid peroxidation as a critical driver of postmenopausal osteoporosis and highlights GPX4-targeted regulation as a promising therapeutic strategy for osteoporosis and related skeletal disorders.</w:t>
      </w:r>
    </w:p>
    <w:p w:rsidR="00784101" w:rsidRPr="00784101" w:rsidRDefault="00784101" w:rsidP="00784101">
      <w:pPr>
        <w:spacing w:after="0" w:line="240" w:lineRule="auto"/>
        <w:jc w:val="both"/>
        <w:rPr>
          <w:rFonts w:ascii="Calibri" w:eastAsia="等线" w:hAnsi="Calibri" w:cs="Calibri"/>
          <w:sz w:val="20"/>
          <w:szCs w:val="20"/>
          <w:lang w:val="en-AU" w:eastAsia="zh-CN"/>
        </w:rPr>
      </w:pPr>
    </w:p>
    <w:p w:rsidR="0079614F" w:rsidRPr="00784101" w:rsidRDefault="00784101" w:rsidP="00C758F4">
      <w:pPr>
        <w:spacing w:after="0" w:line="240" w:lineRule="auto"/>
        <w:jc w:val="both"/>
      </w:pPr>
      <w:r>
        <w:rPr>
          <w:rFonts w:ascii="Calibri" w:eastAsia="Calibri" w:hAnsi="Calibri"/>
          <w:i/>
          <w:sz w:val="20"/>
        </w:rPr>
        <w:t>Zhang Q-Y et al (2025) Nature Communications 16:758.</w:t>
      </w:r>
    </w:p>
    <w:sectPr w:rsidR="0079614F" w:rsidRPr="00784101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470" w:rsidRDefault="009B2470" w:rsidP="00784101">
      <w:pPr>
        <w:spacing w:after="0" w:line="240" w:lineRule="auto"/>
      </w:pPr>
      <w:r>
        <w:separator/>
      </w:r>
    </w:p>
  </w:endnote>
  <w:endnote w:type="continuationSeparator" w:id="0">
    <w:p w:rsidR="009B2470" w:rsidRDefault="009B2470" w:rsidP="0078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470" w:rsidRDefault="009B2470" w:rsidP="00784101">
      <w:pPr>
        <w:spacing w:after="0" w:line="240" w:lineRule="auto"/>
      </w:pPr>
      <w:r>
        <w:separator/>
      </w:r>
    </w:p>
  </w:footnote>
  <w:footnote w:type="continuationSeparator" w:id="0">
    <w:p w:rsidR="009B2470" w:rsidRDefault="009B2470" w:rsidP="00784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BF5"/>
    <w:rsid w:val="00326F90"/>
    <w:rsid w:val="00516D39"/>
    <w:rsid w:val="006A489C"/>
    <w:rsid w:val="00784101"/>
    <w:rsid w:val="0079614F"/>
    <w:rsid w:val="009B2470"/>
    <w:rsid w:val="00AA1D8D"/>
    <w:rsid w:val="00AE04E2"/>
    <w:rsid w:val="00B47730"/>
    <w:rsid w:val="00BC3FF3"/>
    <w:rsid w:val="00C758F4"/>
    <w:rsid w:val="00CB0664"/>
    <w:rsid w:val="00FC693F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5AD27D"/>
  <w14:defaultImageDpi w14:val="300"/>
  <w15:docId w15:val="{0E3B2CF8-D339-409F-9E4C-322A691F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7841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f9">
    <w:name w:val="Normal (Web)"/>
    <w:basedOn w:val="a1"/>
    <w:uiPriority w:val="99"/>
    <w:semiHidden/>
    <w:unhideWhenUsed/>
    <w:rsid w:val="00C758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0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4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07c7a023a498ce9c1421e668d5fa6d7a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93ce613bc385ddd0e2cf1ddf32f036d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72F34DFA-A378-49B6-A3CB-B1E3D5087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77965-58FC-482A-A6FB-BCDBB6EC7332}"/>
</file>

<file path=customXml/itemProps3.xml><?xml version="1.0" encoding="utf-8"?>
<ds:datastoreItem xmlns:ds="http://schemas.openxmlformats.org/officeDocument/2006/customXml" ds:itemID="{32D27661-823F-499B-850F-A5A18607E256}"/>
</file>

<file path=customXml/itemProps4.xml><?xml version="1.0" encoding="utf-8"?>
<ds:datastoreItem xmlns:ds="http://schemas.openxmlformats.org/officeDocument/2006/customXml" ds:itemID="{0B5CEBC0-E3A6-4A08-8B55-A56A4944E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2026-05-20T05:10:00Z</dcterms:created>
  <dcterms:modified xsi:type="dcterms:W3CDTF">2026-05-20T05:10:00Z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</Properties>
</file>