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AA8B" w14:textId="77777777" w:rsidR="00E91B0E" w:rsidRDefault="00E91B0E" w:rsidP="00C315D2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E91B0E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Developing New Treatment Options for Infections Caused by Pathogenic Gram Negative Bacteria</w:t>
      </w:r>
    </w:p>
    <w:p w14:paraId="47D76891" w14:textId="2FCF33A9" w:rsidR="00C315D2" w:rsidRPr="0017672A" w:rsidRDefault="0017672A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Elissar Mansour</w:t>
      </w:r>
      <w:r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C43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Laura </w:t>
      </w:r>
      <w:r w:rsidR="000C190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Marie Riisager</w:t>
      </w:r>
      <w:r w:rsidR="000C190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3C43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Emily Morris</w:t>
      </w:r>
      <w:r w:rsidR="000C1909" w:rsidRPr="000C190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C43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7819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Mohamad Metwaly</w:t>
      </w:r>
      <w:r w:rsidR="00781946" w:rsidRPr="000C190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78194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3C43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Jonathan Du</w:t>
      </w:r>
      <w:r w:rsidR="000C1909" w:rsidRPr="000C190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C43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Dai Hibbs</w:t>
      </w:r>
      <w:r w:rsidR="000C1909" w:rsidRPr="000C190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3C43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Paul W</w:t>
      </w:r>
      <w:r w:rsidR="00DC5E6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illiam</w:t>
      </w:r>
      <w:r w:rsidR="003C43F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Groundwater</w:t>
      </w:r>
      <w:r w:rsidR="000C1909" w:rsidRPr="000C1909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</w:p>
    <w:p w14:paraId="2DD37039" w14:textId="2AFDEFEB" w:rsidR="00C315D2" w:rsidRDefault="000C1909" w:rsidP="00C315D2">
      <w:pPr>
        <w:spacing w:after="0" w:line="240" w:lineRule="auto"/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</w:pPr>
      <w:r w:rsidRPr="000C1909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 xml:space="preserve">Faculty of Medicine and Health, </w:t>
      </w:r>
      <w:r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University of Sydney</w:t>
      </w:r>
      <w:r w:rsidRPr="000C1909">
        <w:rPr>
          <w:rFonts w:ascii="Arial" w:eastAsia="Calibri" w:hAnsi="Arial" w:cs="Calibri"/>
          <w:bCs/>
          <w:iCs/>
          <w:kern w:val="0"/>
          <w:sz w:val="20"/>
          <w:szCs w:val="20"/>
          <w:vertAlign w:val="superscript"/>
          <w:lang w:val="en-US"/>
          <w14:ligatures w14:val="none"/>
        </w:rPr>
        <w:t>1</w:t>
      </w:r>
      <w:r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, Sydney, New South Wales</w:t>
      </w:r>
    </w:p>
    <w:p w14:paraId="7A36DA43" w14:textId="4C1C888A" w:rsidR="00781946" w:rsidRPr="000C1909" w:rsidRDefault="00A73542" w:rsidP="00C315D2">
      <w:pPr>
        <w:spacing w:after="0" w:line="240" w:lineRule="auto"/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 xml:space="preserve">Department of Pharmacy, </w:t>
      </w:r>
      <w:r w:rsidR="00781946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University of Copenhagen</w:t>
      </w:r>
      <w:r w:rsidR="00781946" w:rsidRPr="00781946">
        <w:rPr>
          <w:rFonts w:ascii="Arial" w:eastAsia="Calibri" w:hAnsi="Arial" w:cs="Calibri"/>
          <w:bCs/>
          <w:iCs/>
          <w:kern w:val="0"/>
          <w:sz w:val="20"/>
          <w:szCs w:val="20"/>
          <w:vertAlign w:val="superscript"/>
          <w:lang w:val="en-US"/>
          <w14:ligatures w14:val="none"/>
        </w:rPr>
        <w:t>2</w:t>
      </w:r>
      <w:r w:rsidR="00781946">
        <w:rPr>
          <w:rFonts w:ascii="Arial" w:eastAsia="Calibri" w:hAnsi="Arial" w:cs="Calibri"/>
          <w:bCs/>
          <w:iCs/>
          <w:kern w:val="0"/>
          <w:sz w:val="20"/>
          <w:szCs w:val="20"/>
          <w:lang w:val="en-US"/>
          <w14:ligatures w14:val="none"/>
        </w:rPr>
        <w:t>, Copenhagen, Denmark</w:t>
      </w:r>
    </w:p>
    <w:p w14:paraId="377890A9" w14:textId="77777777" w:rsidR="000C1909" w:rsidRPr="0053051A" w:rsidRDefault="000C1909" w:rsidP="00C315D2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30DB38F0" w14:textId="2F1D6F70" w:rsidR="00CE18E5" w:rsidRPr="0053051A" w:rsidRDefault="00B8473A" w:rsidP="00CE18E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53051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Background and aims</w:t>
      </w:r>
      <w:r w:rsidR="00C315D2" w:rsidRPr="0053051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  <w:r w:rsidR="00C315D2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Each year, there are about five million deaths associated with </w:t>
      </w:r>
      <w:r w:rsidR="007802C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antimicrobial resistance</w:t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7802C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worldwide </w:t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and this number is expected to increase with the continuing misuse of antimicrobials and the lack of new drugs under development </w:t>
      </w:r>
      <w:r w:rsidR="00D520C8" w:rsidRPr="0053051A">
        <w:rPr>
          <w:rFonts w:ascii="Arial" w:hAnsi="Arial" w:cs="Arial"/>
          <w:sz w:val="20"/>
          <w:szCs w:val="20"/>
        </w:rPr>
        <w:fldChar w:fldCharType="begin"/>
      </w:r>
      <w:r w:rsidR="00781946" w:rsidRPr="0053051A">
        <w:rPr>
          <w:rFonts w:ascii="Arial" w:hAnsi="Arial" w:cs="Arial"/>
          <w:sz w:val="20"/>
          <w:szCs w:val="20"/>
        </w:rPr>
        <w:instrText xml:space="preserve"> ADDIN EN.CITE &lt;EndNote&gt;&lt;Cite&gt;&lt;Year&gt;2021&lt;/Year&gt;&lt;RecNum&gt;2&lt;/RecNum&gt;&lt;DisplayText&gt;[1]&lt;/DisplayText&gt;&lt;record&gt;&lt;rec-number&gt;2&lt;/rec-number&gt;&lt;foreign-keys&gt;&lt;key app="EN" db-id="zrfd92zp9x9zxhedxd4x2d93r0x2z0seepds" timestamp="1704529385"&gt;2&lt;/key&gt;&lt;/foreign-keys&gt;&lt;ref-type name="Report"&gt;27&lt;/ref-type&gt;&lt;contributors&gt;&lt;/contributors&gt;&lt;titles&gt;&lt;title&gt;Fourth australian report on antimicrobial use and resistance in human health&lt;/title&gt;&lt;/titles&gt;&lt;dates&gt;&lt;year&gt;2021&lt;/year&gt;&lt;/dates&gt;&lt;pub-location&gt;Sydney&lt;/pub-location&gt;&lt;publisher&gt;Australian Commission on Safety and Quality in Health Care&lt;/publisher&gt;&lt;urls&gt;&lt;/urls&gt;&lt;/record&gt;&lt;/Cite&gt;&lt;/EndNote&gt;</w:instrText>
      </w:r>
      <w:r w:rsidR="00D520C8" w:rsidRPr="0053051A">
        <w:rPr>
          <w:rFonts w:ascii="Arial" w:hAnsi="Arial" w:cs="Arial"/>
          <w:sz w:val="20"/>
          <w:szCs w:val="20"/>
        </w:rPr>
        <w:fldChar w:fldCharType="separate"/>
      </w:r>
      <w:r w:rsidR="00781946" w:rsidRPr="0053051A">
        <w:rPr>
          <w:rFonts w:ascii="Arial" w:hAnsi="Arial" w:cs="Arial"/>
          <w:noProof/>
          <w:sz w:val="20"/>
          <w:szCs w:val="20"/>
        </w:rPr>
        <w:t>[1]</w:t>
      </w:r>
      <w:r w:rsidR="00D520C8" w:rsidRPr="0053051A">
        <w:rPr>
          <w:rFonts w:ascii="Arial" w:hAnsi="Arial" w:cs="Arial"/>
          <w:sz w:val="20"/>
          <w:szCs w:val="20"/>
        </w:rPr>
        <w:fldChar w:fldCharType="end"/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Carbapenems are a type of ß-lactams which were developed after other antibiotics started losing their efficacy due to resistance. </w:t>
      </w:r>
      <w:r w:rsidR="000C1909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</w:t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arbapenem-resistant </w:t>
      </w:r>
      <w:r w:rsidR="008B67D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Gr</w:t>
      </w:r>
      <w:r w:rsidR="007802C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am negative</w:t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species are</w:t>
      </w:r>
      <w:r w:rsidR="000C1909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now</w:t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starting to emerge with the WHO listing them in their top priority pathogens requiring immediate attention </w:t>
      </w:r>
      <w:r w:rsidR="00D520C8" w:rsidRPr="0053051A">
        <w:rPr>
          <w:rFonts w:ascii="Arial" w:hAnsi="Arial" w:cs="Arial"/>
          <w:sz w:val="20"/>
          <w:szCs w:val="20"/>
        </w:rPr>
        <w:fldChar w:fldCharType="begin"/>
      </w:r>
      <w:r w:rsidR="00781946" w:rsidRPr="0053051A">
        <w:rPr>
          <w:rFonts w:ascii="Arial" w:hAnsi="Arial" w:cs="Arial"/>
          <w:sz w:val="20"/>
          <w:szCs w:val="20"/>
        </w:rPr>
        <w:instrText xml:space="preserve"> ADDIN EN.CITE &lt;EndNote&gt;&lt;Cite&gt;&lt;Year&gt;2024&lt;/Year&gt;&lt;RecNum&gt;30&lt;/RecNum&gt;&lt;DisplayText&gt;[2]&lt;/DisplayText&gt;&lt;record&gt;&lt;rec-number&gt;30&lt;/rec-number&gt;&lt;foreign-keys&gt;&lt;key app="EN" db-id="zrfd92zp9x9zxhedxd4x2d93r0x2z0seepds" timestamp="1726726394"&gt;30&lt;/key&gt;&lt;/foreign-keys&gt;&lt;ref-type name="Report"&gt;27&lt;/ref-type&gt;&lt;contributors&gt;&lt;/contributors&gt;&lt;titles&gt;&lt;title&gt;WHO Bacterial Priority Pathogens List, 2024: bacterial pathogens of public health importance to guide research, development and strategies to prevent and control antimicrobial resistance.&lt;/title&gt;&lt;/titles&gt;&lt;dates&gt;&lt;year&gt;2024&lt;/year&gt;&lt;/dates&gt;&lt;pub-location&gt;Geneva&lt;/pub-location&gt;&lt;publisher&gt;World Health Organization&lt;/publisher&gt;&lt;urls&gt;&lt;/urls&gt;&lt;/record&gt;&lt;/Cite&gt;&lt;/EndNote&gt;</w:instrText>
      </w:r>
      <w:r w:rsidR="00D520C8" w:rsidRPr="0053051A">
        <w:rPr>
          <w:rFonts w:ascii="Arial" w:hAnsi="Arial" w:cs="Arial"/>
          <w:sz w:val="20"/>
          <w:szCs w:val="20"/>
        </w:rPr>
        <w:fldChar w:fldCharType="separate"/>
      </w:r>
      <w:r w:rsidR="00781946" w:rsidRPr="0053051A">
        <w:rPr>
          <w:rFonts w:ascii="Arial" w:hAnsi="Arial" w:cs="Arial"/>
          <w:noProof/>
          <w:sz w:val="20"/>
          <w:szCs w:val="20"/>
        </w:rPr>
        <w:t>[2]</w:t>
      </w:r>
      <w:r w:rsidR="00D520C8" w:rsidRPr="0053051A">
        <w:rPr>
          <w:rFonts w:ascii="Arial" w:hAnsi="Arial" w:cs="Arial"/>
          <w:sz w:val="20"/>
          <w:szCs w:val="20"/>
        </w:rPr>
        <w:fldChar w:fldCharType="end"/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 There are multiple mechanisms leading to carbapenem-resistance, including intrinsic drug-</w:t>
      </w:r>
      <w:r w:rsidR="00B61D26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inactivating</w:t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enzymes such as the New Delhi metallo-ß-lactamase-1 (NDM-1) </w:t>
      </w:r>
      <w:r w:rsidR="00D520C8" w:rsidRPr="0053051A">
        <w:rPr>
          <w:rFonts w:ascii="Arial" w:hAnsi="Arial" w:cs="Arial"/>
          <w:sz w:val="20"/>
          <w:szCs w:val="20"/>
        </w:rPr>
        <w:fldChar w:fldCharType="begin"/>
      </w:r>
      <w:r w:rsidR="00781946" w:rsidRPr="0053051A">
        <w:rPr>
          <w:rFonts w:ascii="Arial" w:hAnsi="Arial" w:cs="Arial"/>
          <w:sz w:val="20"/>
          <w:szCs w:val="20"/>
        </w:rPr>
        <w:instrText xml:space="preserve"> ADDIN EN.CITE &lt;EndNote&gt;&lt;Cite&gt;&lt;Author&gt;El-Khoury&lt;/Author&gt;&lt;Year&gt;2022&lt;/Year&gt;&lt;RecNum&gt;29&lt;/RecNum&gt;&lt;DisplayText&gt;[3]&lt;/DisplayText&gt;&lt;record&gt;&lt;rec-number&gt;29&lt;/rec-number&gt;&lt;foreign-keys&gt;&lt;key app="EN" db-id="zrfd92zp9x9zxhedxd4x2d93r0x2z0seepds" timestamp="1726725407"&gt;29&lt;/key&gt;&lt;/foreign-keys&gt;&lt;ref-type name="Journal Article"&gt;17&lt;/ref-type&gt;&lt;contributors&gt;&lt;authors&gt;&lt;author&gt;Christy El-Khoury&lt;/author&gt;&lt;author&gt;Elissar Mansour&lt;/author&gt;&lt;author&gt;Yori Yuliandra&lt;/author&gt;&lt;author&gt;Felcia Lai&lt;/author&gt;&lt;author&gt;Bryson A. Hawkins&lt;/author&gt;&lt;author&gt;Jonathan J. Du&lt;/author&gt;&lt;author&gt;Eric J. Sundberg&lt;/author&gt;&lt;author&gt;Nicolas Sluis-Cremer&lt;/author&gt;&lt;author&gt;David E. Hibbs&lt;/author&gt;&lt;author&gt;Paul W. Groundwater&lt;/author&gt;&lt;/authors&gt;&lt;/contributors&gt;&lt;titles&gt;&lt;title&gt;The role of adjuvants in overcoming antibacterial resistance due to enzymatic drug modification&lt;/title&gt;&lt;secondary-title&gt;RSC Med. Chem.&lt;/secondary-title&gt;&lt;/titles&gt;&lt;periodical&gt;&lt;full-title&gt;RSC Med. Chem.&lt;/full-title&gt;&lt;/periodical&gt;&lt;pages&gt;1276-1299&lt;/pages&gt;&lt;volume&gt;13&lt;/volume&gt;&lt;dates&gt;&lt;year&gt;2022&lt;/year&gt;&lt;/dates&gt;&lt;urls&gt;&lt;/urls&gt;&lt;electronic-resource-num&gt;10.1039/D2MD00263A&lt;/electronic-resource-num&gt;&lt;/record&gt;&lt;/Cite&gt;&lt;/EndNote&gt;</w:instrText>
      </w:r>
      <w:r w:rsidR="00D520C8" w:rsidRPr="0053051A">
        <w:rPr>
          <w:rFonts w:ascii="Arial" w:hAnsi="Arial" w:cs="Arial"/>
          <w:sz w:val="20"/>
          <w:szCs w:val="20"/>
        </w:rPr>
        <w:fldChar w:fldCharType="separate"/>
      </w:r>
      <w:r w:rsidR="00781946" w:rsidRPr="0053051A">
        <w:rPr>
          <w:rFonts w:ascii="Arial" w:hAnsi="Arial" w:cs="Arial"/>
          <w:noProof/>
          <w:sz w:val="20"/>
          <w:szCs w:val="20"/>
        </w:rPr>
        <w:t>[3]</w:t>
      </w:r>
      <w:r w:rsidR="00D520C8" w:rsidRPr="0053051A">
        <w:rPr>
          <w:rFonts w:ascii="Arial" w:hAnsi="Arial" w:cs="Arial"/>
          <w:sz w:val="20"/>
          <w:szCs w:val="20"/>
        </w:rPr>
        <w:fldChar w:fldCharType="end"/>
      </w:r>
      <w:r w:rsidR="0029663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. </w:t>
      </w:r>
      <w:r w:rsidR="007802C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aim of this study is to resensitise </w:t>
      </w:r>
      <w:r w:rsidR="008B67D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G</w:t>
      </w:r>
      <w:r w:rsidR="007802C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ram negative bacteria to carbapenems by finding NDM-1 inhibitors through drug</w:t>
      </w:r>
      <w:r w:rsidR="008B67D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-</w:t>
      </w:r>
      <w:r w:rsidR="007802C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repurposing.</w:t>
      </w:r>
    </w:p>
    <w:p w14:paraId="549214B8" w14:textId="77777777" w:rsidR="00CE18E5" w:rsidRPr="0053051A" w:rsidRDefault="00CE18E5" w:rsidP="00CE18E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</w:p>
    <w:p w14:paraId="1387B9C3" w14:textId="5CF3A1A5" w:rsidR="00C315D2" w:rsidRPr="0053051A" w:rsidRDefault="00C315D2" w:rsidP="00CE18E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53051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Methods.</w:t>
      </w:r>
      <w:r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B61D26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Using the Maestro Schrodinger software, an </w:t>
      </w:r>
      <w:r w:rsidR="00B61D26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 xml:space="preserve">in silico </w:t>
      </w:r>
      <w:r w:rsidR="00B61D26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model of NDM-1 was used to screen approved drugs and generally regarded as safe (GRAS) compounds</w:t>
      </w:r>
      <w:r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DD50CC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for their </w:t>
      </w:r>
      <w:r w:rsidR="00B61D26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binding affinity to the active site of the enzyme. </w:t>
      </w:r>
      <w:r w:rsidR="008B67D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The</w:t>
      </w:r>
      <w:r w:rsidR="00EB2BE8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8B67D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lead </w:t>
      </w:r>
      <w:r w:rsidR="00EB2BE8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compounds</w:t>
      </w:r>
      <w:r w:rsidR="008B67D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with the best docking scores</w:t>
      </w:r>
      <w:r w:rsidR="00321B3F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– </w:t>
      </w:r>
      <w:r w:rsidR="00A37584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labelled resistance </w:t>
      </w:r>
      <w:r w:rsidR="008E799A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breakers</w:t>
      </w:r>
      <w:r w:rsidR="00A37584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(RBs)</w:t>
      </w:r>
      <w:r w:rsidR="00321B3F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– </w:t>
      </w:r>
      <w:r w:rsidR="00EB2BE8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were then tested </w:t>
      </w:r>
      <w:r w:rsidR="00EB2BE8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 xml:space="preserve">in vitro </w:t>
      </w:r>
      <w:r w:rsidR="00EB2BE8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through checkerboard</w:t>
      </w:r>
      <w:r w:rsidR="002715A3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time-kill</w:t>
      </w:r>
      <w:r w:rsidR="00EB2BE8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assays to assess their synergistic </w:t>
      </w:r>
      <w:r w:rsidR="00A37584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and bactericidal </w:t>
      </w:r>
      <w:r w:rsidR="00EB2BE8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effect</w:t>
      </w:r>
      <w:r w:rsidR="00A37584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</w:t>
      </w:r>
      <w:r w:rsidR="00EB2BE8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with meropenem, ertapenem and imipenem</w:t>
      </w:r>
      <w:r w:rsidR="00130735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against different resistant strains</w:t>
      </w:r>
      <w:r w:rsidR="00781946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, </w:t>
      </w:r>
      <w:r w:rsidR="00130735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such as </w:t>
      </w:r>
      <w:r w:rsidR="00130735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Escherichia coli</w:t>
      </w:r>
      <w:r w:rsidR="00130735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and </w:t>
      </w:r>
      <w:r w:rsidR="00130735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Klebsiella pneumoniae</w:t>
      </w:r>
      <w:r w:rsidR="00CF44EE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p w14:paraId="2D54DEE1" w14:textId="77777777" w:rsidR="00CE18E5" w:rsidRPr="0053051A" w:rsidRDefault="00CE18E5" w:rsidP="00CE18E5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</w:p>
    <w:p w14:paraId="15EB0532" w14:textId="3E13AB24" w:rsidR="00C315D2" w:rsidRPr="0053051A" w:rsidRDefault="00795378" w:rsidP="002B32CA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</w:pPr>
      <w:r w:rsidRPr="0053051A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Results.</w:t>
      </w:r>
      <w:r w:rsidR="00C315D2" w:rsidRPr="0053051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 </w:t>
      </w:r>
      <w:r w:rsidR="009229E7" w:rsidRPr="0053051A">
        <w:rPr>
          <w:rFonts w:ascii="Arial" w:eastAsia="Calibri" w:hAnsi="Arial" w:cs="Arial"/>
          <w:i/>
          <w:iCs/>
          <w:kern w:val="0"/>
          <w:sz w:val="20"/>
          <w:szCs w:val="20"/>
          <w:lang w:val="en-US"/>
          <w14:ligatures w14:val="none"/>
        </w:rPr>
        <w:t xml:space="preserve">In silico </w:t>
      </w:r>
      <w:r w:rsidR="009229E7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screening yielded RB1, RB2 and RB3 </w:t>
      </w:r>
      <w:r w:rsidR="009D0A05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as lead compounds</w:t>
      </w:r>
      <w:r w:rsidR="003C505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.</w:t>
      </w:r>
      <w:r w:rsidR="004948D7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The minimum inhibitory concentration (MIC) of each antibacterial agent </w:t>
      </w:r>
      <w:r w:rsidR="003C505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was</w:t>
      </w:r>
      <w:r w:rsidR="004948D7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first determined against two Gram negative strains which express the gene encoding for NDM-1. The synergistic effect</w:t>
      </w:r>
      <w:r w:rsidR="003C505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s </w:t>
      </w:r>
      <w:r w:rsidR="004948D7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of the RBs </w:t>
      </w:r>
      <w:r w:rsidR="003C505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were</w:t>
      </w:r>
      <w:r w:rsidR="004948D7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highlighted by their capacity to significantly reduce the MIC</w:t>
      </w:r>
      <w:r w:rsidR="007A0FF9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s</w:t>
      </w:r>
      <w:r w:rsidR="004948D7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of carbapenems </w:t>
      </w:r>
      <w:r w:rsidR="00690CF8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in</w:t>
      </w:r>
      <w:r w:rsidR="00C606A8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strains expressing NDM-1 </w:t>
      </w:r>
      <w:r w:rsidR="007A0FF9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(Table 1</w:t>
      </w:r>
      <w:r w:rsidR="0024566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)</w:t>
      </w:r>
      <w:r w:rsidR="00781946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, </w:t>
      </w:r>
      <w:r w:rsidR="0024566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but had</w:t>
      </w:r>
      <w:r w:rsidR="000E17BC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no </w:t>
      </w:r>
      <w:r w:rsidR="008E799A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activity</w:t>
      </w:r>
      <w:r w:rsidR="007A0FF9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24566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on</w:t>
      </w:r>
      <w:r w:rsidR="007A0FF9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24566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those which</w:t>
      </w:r>
      <w:r w:rsidR="007A0FF9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</w:t>
      </w:r>
      <w:r w:rsidR="0024566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did</w:t>
      </w:r>
      <w:r w:rsidR="007A0FF9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not express NDM-1</w:t>
      </w:r>
      <w:r w:rsidR="008E799A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. </w:t>
      </w:r>
      <w:r w:rsidR="00436A7F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Further testing </w:t>
      </w:r>
      <w:r w:rsidR="007D2A29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also </w:t>
      </w:r>
      <w:r w:rsidR="00D414FD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showed the</w:t>
      </w:r>
      <w:r w:rsidR="00245662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bactericidal activity</w:t>
      </w:r>
      <w:r w:rsidR="00D414FD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 xml:space="preserve"> of </w:t>
      </w:r>
      <w:r w:rsidR="008B35D4" w:rsidRPr="0053051A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carbapenems when combined with the RBs.</w:t>
      </w:r>
    </w:p>
    <w:tbl>
      <w:tblPr>
        <w:tblpPr w:leftFromText="180" w:rightFromText="180" w:vertAnchor="text" w:horzAnchor="margin" w:tblpY="232"/>
        <w:tblW w:w="90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418"/>
        <w:gridCol w:w="1417"/>
        <w:gridCol w:w="1276"/>
        <w:gridCol w:w="1417"/>
        <w:gridCol w:w="1418"/>
        <w:gridCol w:w="1369"/>
      </w:tblGrid>
      <w:tr w:rsidR="00CA27C4" w:rsidRPr="0053051A" w14:paraId="01FD928B" w14:textId="77777777" w:rsidTr="00C9107F">
        <w:trPr>
          <w:trHeight w:val="302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707434" w14:textId="3A4A6533" w:rsidR="00CA27C4" w:rsidRPr="0053051A" w:rsidRDefault="00CA27C4" w:rsidP="00CA27C4">
            <w:pPr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831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DAB279" w14:textId="2BB77C00" w:rsidR="00CA27C4" w:rsidRPr="0053051A" w:rsidRDefault="00A73542" w:rsidP="0080784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 xml:space="preserve">Antibiotic </w:t>
            </w:r>
            <w:r w:rsidR="00CA27C4" w:rsidRPr="0053051A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>MIC reduction (folds)</w:t>
            </w:r>
          </w:p>
        </w:tc>
      </w:tr>
      <w:tr w:rsidR="00CA27C4" w:rsidRPr="0053051A" w14:paraId="699520D6" w14:textId="77777777" w:rsidTr="00C9107F">
        <w:trPr>
          <w:trHeight w:val="33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EB9604" w14:textId="77777777" w:rsidR="00CA27C4" w:rsidRPr="0053051A" w:rsidRDefault="00CA27C4" w:rsidP="00CA27C4">
            <w:pPr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09DDEE" w14:textId="2A36260C" w:rsidR="00CA27C4" w:rsidRPr="0053051A" w:rsidRDefault="00A24BA9" w:rsidP="00A24B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 xml:space="preserve">E. coli </w:t>
            </w:r>
            <w:r w:rsidRPr="0053051A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>BAA-2452</w:t>
            </w:r>
          </w:p>
        </w:tc>
        <w:tc>
          <w:tcPr>
            <w:tcW w:w="42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306B66" w14:textId="75D0491E" w:rsidR="00CA27C4" w:rsidRPr="0053051A" w:rsidRDefault="00A24BA9" w:rsidP="00A24BA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i/>
                <w:iCs/>
                <w:kern w:val="0"/>
                <w:sz w:val="20"/>
                <w:szCs w:val="20"/>
                <w:lang w:val="en-GB"/>
                <w14:ligatures w14:val="none"/>
              </w:rPr>
              <w:t xml:space="preserve">K. pneumoniae </w:t>
            </w:r>
            <w:r w:rsidRPr="0053051A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>BAA-2473</w:t>
            </w:r>
          </w:p>
        </w:tc>
      </w:tr>
      <w:tr w:rsidR="00D55B3D" w:rsidRPr="0053051A" w14:paraId="1F59710D" w14:textId="77777777" w:rsidTr="00C9107F">
        <w:trPr>
          <w:trHeight w:val="33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19AA74" w14:textId="77777777" w:rsidR="00D55B3D" w:rsidRPr="0053051A" w:rsidRDefault="00D55B3D" w:rsidP="00D55B3D">
            <w:pPr>
              <w:spacing w:after="0" w:line="240" w:lineRule="auto"/>
              <w:ind w:firstLine="720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ACEF86" w14:textId="256F3797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Meropenem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3B9D52" w14:textId="36B460B7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Imipenem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A25B5F" w14:textId="40EF238C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Ertapenem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BA144E" w14:textId="31338E3F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Meropenem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F6A49B" w14:textId="21E4DF4E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Imipenem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6D90D0" w14:textId="645773B3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Ertapenem</w:t>
            </w:r>
          </w:p>
        </w:tc>
      </w:tr>
      <w:tr w:rsidR="00D55B3D" w:rsidRPr="0053051A" w14:paraId="3FD5E7F3" w14:textId="77777777" w:rsidTr="00C9107F">
        <w:trPr>
          <w:trHeight w:val="33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52D25E" w14:textId="49E01300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>RB1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5D4767" w14:textId="3C4A1E52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122FC" w14:textId="01DAFB62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B1B8F" w14:textId="48EAA08A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3FD77" w14:textId="6C1DA1FA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22FF86" w14:textId="47DBEE7A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8F96F" w14:textId="5B58A57F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</w:tr>
      <w:tr w:rsidR="00D55B3D" w:rsidRPr="0053051A" w14:paraId="4CFE9D9A" w14:textId="77777777" w:rsidTr="00C9107F">
        <w:trPr>
          <w:trHeight w:val="33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3019D7" w14:textId="3E33EE5B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>RB2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C084D" w14:textId="72D1D78B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B7219" w14:textId="7746EA9A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85FA28" w14:textId="76A30091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42C3A" w14:textId="6659A6CC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784C8" w14:textId="1860BE26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B7387A" w14:textId="526B69B5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D55B3D" w:rsidRPr="0053051A" w14:paraId="500A76B4" w14:textId="77777777" w:rsidTr="00C9107F">
        <w:trPr>
          <w:trHeight w:val="333"/>
        </w:trPr>
        <w:tc>
          <w:tcPr>
            <w:tcW w:w="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F0EB65" w14:textId="7DE228C3" w:rsidR="00D55B3D" w:rsidRPr="0053051A" w:rsidRDefault="00D55B3D" w:rsidP="00D55B3D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  <w:t>RB3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36259" w14:textId="7DC31D8A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4C6E1E" w14:textId="415140B4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BA7B9" w14:textId="652BFFBF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A77F2E" w14:textId="63FF31BA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64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A55E3" w14:textId="5023A9A0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60D64F" w14:textId="032F3F0A" w:rsidR="00D55B3D" w:rsidRPr="0053051A" w:rsidRDefault="00D55B3D" w:rsidP="00C9107F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:lang w:val="en-GB"/>
                <w14:ligatures w14:val="none"/>
              </w:rPr>
            </w:pPr>
            <w:r w:rsidRPr="0053051A">
              <w:rPr>
                <w:rFonts w:ascii="Arial" w:eastAsia="Calibri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</w:tr>
    </w:tbl>
    <w:p w14:paraId="670F9BAF" w14:textId="77777777" w:rsidR="00C315D2" w:rsidRPr="0053051A" w:rsidRDefault="00C315D2" w:rsidP="00C315D2">
      <w:pPr>
        <w:jc w:val="both"/>
        <w:rPr>
          <w:rFonts w:ascii="Arial" w:eastAsia="Calibri" w:hAnsi="Arial" w:cs="Arial"/>
          <w:sz w:val="20"/>
          <w:szCs w:val="20"/>
        </w:rPr>
      </w:pPr>
    </w:p>
    <w:p w14:paraId="2F436341" w14:textId="77777777" w:rsidR="00CA27C4" w:rsidRPr="0053051A" w:rsidRDefault="00CA27C4" w:rsidP="2021B9E9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44719324" w14:textId="2CF2581E" w:rsidR="00C315D2" w:rsidRPr="0053051A" w:rsidRDefault="00C315D2" w:rsidP="2021B9E9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</w:pPr>
      <w:r w:rsidRPr="0053051A">
        <w:rPr>
          <w:rFonts w:ascii="Arial" w:eastAsia="Calibri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Table 1. </w:t>
      </w:r>
      <w:r w:rsidR="00DA7AFC" w:rsidRPr="0053051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The </w:t>
      </w:r>
      <w:r w:rsidR="00B3678E" w:rsidRPr="0053051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>effect of RBs on the MIC of carbapenems in NDM</w:t>
      </w:r>
      <w:r w:rsidR="00DA7AFC" w:rsidRPr="0053051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-1 expressing </w:t>
      </w:r>
      <w:r w:rsidR="00DA7AFC" w:rsidRPr="0053051A">
        <w:rPr>
          <w:rFonts w:ascii="Arial" w:eastAsia="Calibri" w:hAnsi="Arial" w:cs="Arial"/>
          <w:i/>
          <w:iCs/>
          <w:kern w:val="0"/>
          <w:sz w:val="20"/>
          <w:szCs w:val="20"/>
          <w:lang w:val="en-GB"/>
          <w14:ligatures w14:val="none"/>
        </w:rPr>
        <w:t xml:space="preserve">E. </w:t>
      </w:r>
      <w:r w:rsidR="00AE4FF4" w:rsidRPr="0053051A">
        <w:rPr>
          <w:rFonts w:ascii="Arial" w:eastAsia="Calibri" w:hAnsi="Arial" w:cs="Arial"/>
          <w:i/>
          <w:iCs/>
          <w:kern w:val="0"/>
          <w:sz w:val="20"/>
          <w:szCs w:val="20"/>
          <w:lang w:val="en-GB"/>
          <w14:ligatures w14:val="none"/>
        </w:rPr>
        <w:t xml:space="preserve">coli </w:t>
      </w:r>
      <w:r w:rsidR="00DA7AFC" w:rsidRPr="0053051A">
        <w:rPr>
          <w:rFonts w:ascii="Arial" w:eastAsia="Calibri" w:hAnsi="Arial" w:cs="Arial"/>
          <w:kern w:val="0"/>
          <w:sz w:val="20"/>
          <w:szCs w:val="20"/>
          <w:lang w:val="en-GB"/>
          <w14:ligatures w14:val="none"/>
        </w:rPr>
        <w:t xml:space="preserve">and </w:t>
      </w:r>
      <w:r w:rsidR="00DA7AFC" w:rsidRPr="0053051A">
        <w:rPr>
          <w:rFonts w:ascii="Arial" w:eastAsia="Calibri" w:hAnsi="Arial" w:cs="Arial"/>
          <w:i/>
          <w:iCs/>
          <w:kern w:val="0"/>
          <w:sz w:val="20"/>
          <w:szCs w:val="20"/>
          <w:lang w:val="en-GB"/>
          <w14:ligatures w14:val="none"/>
        </w:rPr>
        <w:t>K. pneumoniae</w:t>
      </w:r>
      <w:r w:rsidR="008E0F78" w:rsidRPr="0053051A">
        <w:rPr>
          <w:rFonts w:ascii="Arial" w:eastAsia="Calibri" w:hAnsi="Arial" w:cs="Arial"/>
          <w:i/>
          <w:iCs/>
          <w:kern w:val="0"/>
          <w:sz w:val="20"/>
          <w:szCs w:val="20"/>
          <w:lang w:val="en-GB"/>
          <w14:ligatures w14:val="none"/>
        </w:rPr>
        <w:t>.</w:t>
      </w:r>
    </w:p>
    <w:p w14:paraId="37683296" w14:textId="77777777" w:rsidR="00C315D2" w:rsidRPr="0053051A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E846CD" w14:textId="24C9A7D4" w:rsidR="00C315D2" w:rsidRPr="0053051A" w:rsidRDefault="00B8473A" w:rsidP="00C315D2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53051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Conclusion/</w:t>
      </w:r>
      <w:r w:rsidR="00C315D2" w:rsidRPr="0053051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Discussion.</w:t>
      </w:r>
      <w:r w:rsidR="00C315D2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1B790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So far, the RBs seem to b</w:t>
      </w:r>
      <w:r w:rsidR="008B447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 promising in resensitising </w:t>
      </w:r>
      <w:r w:rsidR="001B790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Gram negative species </w:t>
      </w:r>
      <w:r w:rsidR="008B4470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to carbapenems</w:t>
      </w:r>
      <w:r w:rsidR="001B790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  <w:r w:rsidR="002B32CA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01655E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Testing is being extended to include </w:t>
      </w:r>
      <w:r w:rsidR="00920FB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other </w:t>
      </w:r>
      <w:r w:rsidR="0001655E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carbapenem</w:t>
      </w:r>
      <w:r w:rsidR="00920FB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-</w:t>
      </w:r>
      <w:r w:rsidR="0001655E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resistant</w:t>
      </w:r>
      <w:r w:rsidR="007F3035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strains</w:t>
      </w:r>
      <w:r w:rsidR="0001655E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20FB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such as </w:t>
      </w:r>
      <w:r w:rsidR="0001655E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A</w:t>
      </w:r>
      <w:r w:rsidR="00FD6C5F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 xml:space="preserve">cinetobacter </w:t>
      </w:r>
      <w:r w:rsidR="0001655E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baumannii</w:t>
      </w:r>
      <w:r w:rsidR="00FD6C5F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20FB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and </w:t>
      </w:r>
      <w:r w:rsidR="0001655E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P</w:t>
      </w:r>
      <w:r w:rsidR="00FD6C5F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seudomonas</w:t>
      </w:r>
      <w:r w:rsidR="0001655E" w:rsidRPr="0053051A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 xml:space="preserve"> aeruginosa</w:t>
      </w:r>
      <w:r w:rsidR="0001655E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920FB1"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which express NDM-1 and/or other carbapenemases.</w:t>
      </w:r>
    </w:p>
    <w:p w14:paraId="1AF10CAD" w14:textId="77777777" w:rsidR="00C315D2" w:rsidRPr="0053051A" w:rsidRDefault="00C315D2" w:rsidP="00C315D2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9033C4B" w14:textId="763AE9B5" w:rsidR="00D520C8" w:rsidRPr="0053051A" w:rsidRDefault="00C315D2" w:rsidP="00D520C8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53051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References:</w:t>
      </w:r>
      <w:r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3C9FA2FA" w14:textId="77777777" w:rsidR="00781946" w:rsidRPr="0053051A" w:rsidRDefault="00D520C8" w:rsidP="00781946">
      <w:pPr>
        <w:pStyle w:val="EndNoteBibliography"/>
        <w:spacing w:after="0"/>
        <w:ind w:left="720" w:hanging="720"/>
        <w:rPr>
          <w:rFonts w:ascii="Arial" w:hAnsi="Arial" w:cs="Arial"/>
          <w:noProof/>
          <w:sz w:val="20"/>
          <w:szCs w:val="20"/>
        </w:rPr>
      </w:pPr>
      <w:r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begin"/>
      </w:r>
      <w:r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instrText xml:space="preserve"> ADDIN EN.REFLIST </w:instrText>
      </w:r>
      <w:r w:rsidRPr="005305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separate"/>
      </w:r>
      <w:r w:rsidR="00781946" w:rsidRPr="0053051A">
        <w:rPr>
          <w:rFonts w:ascii="Arial" w:hAnsi="Arial" w:cs="Arial"/>
          <w:noProof/>
          <w:sz w:val="20"/>
          <w:szCs w:val="20"/>
        </w:rPr>
        <w:t>1.</w:t>
      </w:r>
      <w:r w:rsidR="00781946" w:rsidRPr="0053051A">
        <w:rPr>
          <w:rFonts w:ascii="Arial" w:hAnsi="Arial" w:cs="Arial"/>
          <w:noProof/>
          <w:sz w:val="20"/>
          <w:szCs w:val="20"/>
        </w:rPr>
        <w:tab/>
      </w:r>
      <w:r w:rsidR="00781946" w:rsidRPr="0053051A">
        <w:rPr>
          <w:rFonts w:ascii="Arial" w:hAnsi="Arial" w:cs="Arial"/>
          <w:i/>
          <w:noProof/>
          <w:sz w:val="20"/>
          <w:szCs w:val="20"/>
        </w:rPr>
        <w:t>Fourth australian report on antimicrobial use and resistance in human health</w:t>
      </w:r>
      <w:r w:rsidR="00781946" w:rsidRPr="0053051A">
        <w:rPr>
          <w:rFonts w:ascii="Arial" w:hAnsi="Arial" w:cs="Arial"/>
          <w:noProof/>
          <w:sz w:val="20"/>
          <w:szCs w:val="20"/>
        </w:rPr>
        <w:t>. 2021, Australian Commission on Safety and Quality in Health Care: Sydney.</w:t>
      </w:r>
    </w:p>
    <w:p w14:paraId="2D70B00E" w14:textId="77777777" w:rsidR="00781946" w:rsidRPr="0053051A" w:rsidRDefault="00781946" w:rsidP="00781946">
      <w:pPr>
        <w:pStyle w:val="EndNoteBibliography"/>
        <w:spacing w:after="0"/>
        <w:ind w:left="720" w:hanging="720"/>
        <w:rPr>
          <w:rFonts w:ascii="Arial" w:hAnsi="Arial" w:cs="Arial"/>
          <w:noProof/>
          <w:sz w:val="20"/>
          <w:szCs w:val="20"/>
        </w:rPr>
      </w:pPr>
      <w:r w:rsidRPr="0053051A">
        <w:rPr>
          <w:rFonts w:ascii="Arial" w:hAnsi="Arial" w:cs="Arial"/>
          <w:noProof/>
          <w:sz w:val="20"/>
          <w:szCs w:val="20"/>
        </w:rPr>
        <w:t>2.</w:t>
      </w:r>
      <w:r w:rsidRPr="0053051A">
        <w:rPr>
          <w:rFonts w:ascii="Arial" w:hAnsi="Arial" w:cs="Arial"/>
          <w:noProof/>
          <w:sz w:val="20"/>
          <w:szCs w:val="20"/>
        </w:rPr>
        <w:tab/>
      </w:r>
      <w:r w:rsidRPr="0053051A">
        <w:rPr>
          <w:rFonts w:ascii="Arial" w:hAnsi="Arial" w:cs="Arial"/>
          <w:i/>
          <w:noProof/>
          <w:sz w:val="20"/>
          <w:szCs w:val="20"/>
        </w:rPr>
        <w:t>WHO Bacterial Priority Pathogens List, 2024: bacterial pathogens of public health importance to guide research, development and strategies to prevent and control antimicrobial resistance.</w:t>
      </w:r>
      <w:r w:rsidRPr="0053051A">
        <w:rPr>
          <w:rFonts w:ascii="Arial" w:hAnsi="Arial" w:cs="Arial"/>
          <w:noProof/>
          <w:sz w:val="20"/>
          <w:szCs w:val="20"/>
        </w:rPr>
        <w:t xml:space="preserve"> 2024, World Health Organization: Geneva.</w:t>
      </w:r>
    </w:p>
    <w:p w14:paraId="10364A69" w14:textId="77777777" w:rsidR="00781946" w:rsidRPr="0053051A" w:rsidRDefault="00781946" w:rsidP="00781946">
      <w:pPr>
        <w:pStyle w:val="EndNoteBibliography"/>
        <w:ind w:left="720" w:hanging="720"/>
        <w:rPr>
          <w:rFonts w:ascii="Arial" w:hAnsi="Arial" w:cs="Arial"/>
          <w:noProof/>
          <w:sz w:val="20"/>
          <w:szCs w:val="20"/>
        </w:rPr>
      </w:pPr>
      <w:r w:rsidRPr="0053051A">
        <w:rPr>
          <w:rFonts w:ascii="Arial" w:hAnsi="Arial" w:cs="Arial"/>
          <w:noProof/>
          <w:sz w:val="20"/>
          <w:szCs w:val="20"/>
        </w:rPr>
        <w:t>3.</w:t>
      </w:r>
      <w:r w:rsidRPr="0053051A">
        <w:rPr>
          <w:rFonts w:ascii="Arial" w:hAnsi="Arial" w:cs="Arial"/>
          <w:noProof/>
          <w:sz w:val="20"/>
          <w:szCs w:val="20"/>
        </w:rPr>
        <w:tab/>
        <w:t xml:space="preserve">El-Khoury, C., et al., </w:t>
      </w:r>
      <w:r w:rsidRPr="0053051A">
        <w:rPr>
          <w:rFonts w:ascii="Arial" w:hAnsi="Arial" w:cs="Arial"/>
          <w:i/>
          <w:noProof/>
          <w:sz w:val="20"/>
          <w:szCs w:val="20"/>
        </w:rPr>
        <w:t>The role of adjuvants in overcoming antibacterial resistance due to enzymatic drug modification.</w:t>
      </w:r>
      <w:r w:rsidRPr="0053051A">
        <w:rPr>
          <w:rFonts w:ascii="Arial" w:hAnsi="Arial" w:cs="Arial"/>
          <w:noProof/>
          <w:sz w:val="20"/>
          <w:szCs w:val="20"/>
        </w:rPr>
        <w:t xml:space="preserve"> RSC Med. Chem., 2022. </w:t>
      </w:r>
      <w:r w:rsidRPr="0053051A">
        <w:rPr>
          <w:rFonts w:ascii="Arial" w:hAnsi="Arial" w:cs="Arial"/>
          <w:b/>
          <w:noProof/>
          <w:sz w:val="20"/>
          <w:szCs w:val="20"/>
        </w:rPr>
        <w:t>13</w:t>
      </w:r>
      <w:r w:rsidRPr="0053051A">
        <w:rPr>
          <w:rFonts w:ascii="Arial" w:hAnsi="Arial" w:cs="Arial"/>
          <w:noProof/>
          <w:sz w:val="20"/>
          <w:szCs w:val="20"/>
        </w:rPr>
        <w:t>: p. 1276-1299.</w:t>
      </w:r>
    </w:p>
    <w:p w14:paraId="7D6E388F" w14:textId="564AD766" w:rsidR="00113BB7" w:rsidRPr="0053051A" w:rsidRDefault="00D520C8" w:rsidP="00C315D2">
      <w:pPr>
        <w:jc w:val="both"/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</w:pPr>
      <w:r w:rsidRPr="0053051A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fldChar w:fldCharType="end"/>
      </w:r>
    </w:p>
    <w:sectPr w:rsidR="00113BB7" w:rsidRPr="00530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315D2"/>
    <w:rsid w:val="0001655E"/>
    <w:rsid w:val="000654C3"/>
    <w:rsid w:val="000C1909"/>
    <w:rsid w:val="000E17BC"/>
    <w:rsid w:val="00107368"/>
    <w:rsid w:val="00113BB7"/>
    <w:rsid w:val="00130735"/>
    <w:rsid w:val="0017672A"/>
    <w:rsid w:val="001B7901"/>
    <w:rsid w:val="002017E6"/>
    <w:rsid w:val="00245662"/>
    <w:rsid w:val="002715A3"/>
    <w:rsid w:val="00294059"/>
    <w:rsid w:val="00296633"/>
    <w:rsid w:val="002B32CA"/>
    <w:rsid w:val="003206E4"/>
    <w:rsid w:val="00321B3F"/>
    <w:rsid w:val="003A6D5C"/>
    <w:rsid w:val="003C43F7"/>
    <w:rsid w:val="003C5052"/>
    <w:rsid w:val="003C6A78"/>
    <w:rsid w:val="00436A7F"/>
    <w:rsid w:val="004948D7"/>
    <w:rsid w:val="004A51B6"/>
    <w:rsid w:val="004D5AD9"/>
    <w:rsid w:val="004F7AAC"/>
    <w:rsid w:val="00510CF8"/>
    <w:rsid w:val="0053051A"/>
    <w:rsid w:val="00575A29"/>
    <w:rsid w:val="00601754"/>
    <w:rsid w:val="00690CF8"/>
    <w:rsid w:val="00693A46"/>
    <w:rsid w:val="006A34BE"/>
    <w:rsid w:val="006B3DAE"/>
    <w:rsid w:val="006D0BB8"/>
    <w:rsid w:val="006F3F1C"/>
    <w:rsid w:val="007141F2"/>
    <w:rsid w:val="007561D8"/>
    <w:rsid w:val="007802C3"/>
    <w:rsid w:val="00781946"/>
    <w:rsid w:val="00794792"/>
    <w:rsid w:val="00795378"/>
    <w:rsid w:val="00796206"/>
    <w:rsid w:val="007A0FF9"/>
    <w:rsid w:val="007C367E"/>
    <w:rsid w:val="007D2A29"/>
    <w:rsid w:val="007F3035"/>
    <w:rsid w:val="008071C5"/>
    <w:rsid w:val="0080784A"/>
    <w:rsid w:val="00897575"/>
    <w:rsid w:val="008B35D4"/>
    <w:rsid w:val="008B4470"/>
    <w:rsid w:val="008B67D0"/>
    <w:rsid w:val="008E0F78"/>
    <w:rsid w:val="008E799A"/>
    <w:rsid w:val="00906D34"/>
    <w:rsid w:val="00910236"/>
    <w:rsid w:val="00920FB1"/>
    <w:rsid w:val="009229E7"/>
    <w:rsid w:val="00933DC9"/>
    <w:rsid w:val="00936D4C"/>
    <w:rsid w:val="009523F9"/>
    <w:rsid w:val="009650DF"/>
    <w:rsid w:val="009B1CBB"/>
    <w:rsid w:val="009D0A05"/>
    <w:rsid w:val="00A0516D"/>
    <w:rsid w:val="00A2343F"/>
    <w:rsid w:val="00A24BA9"/>
    <w:rsid w:val="00A37584"/>
    <w:rsid w:val="00A73542"/>
    <w:rsid w:val="00AA1597"/>
    <w:rsid w:val="00AE4FF4"/>
    <w:rsid w:val="00B3678E"/>
    <w:rsid w:val="00B4721D"/>
    <w:rsid w:val="00B61D26"/>
    <w:rsid w:val="00B8473A"/>
    <w:rsid w:val="00B96D39"/>
    <w:rsid w:val="00BF0A56"/>
    <w:rsid w:val="00C21815"/>
    <w:rsid w:val="00C315D2"/>
    <w:rsid w:val="00C353D8"/>
    <w:rsid w:val="00C606A8"/>
    <w:rsid w:val="00C9107F"/>
    <w:rsid w:val="00CA27C4"/>
    <w:rsid w:val="00CE18E5"/>
    <w:rsid w:val="00CE3186"/>
    <w:rsid w:val="00CE3E81"/>
    <w:rsid w:val="00CF44EE"/>
    <w:rsid w:val="00CF5A91"/>
    <w:rsid w:val="00D02BB1"/>
    <w:rsid w:val="00D414FD"/>
    <w:rsid w:val="00D45A74"/>
    <w:rsid w:val="00D520C8"/>
    <w:rsid w:val="00D55B3D"/>
    <w:rsid w:val="00D7428F"/>
    <w:rsid w:val="00D87E0D"/>
    <w:rsid w:val="00DA7AFC"/>
    <w:rsid w:val="00DC5E63"/>
    <w:rsid w:val="00DD50CC"/>
    <w:rsid w:val="00E5049B"/>
    <w:rsid w:val="00E91B0E"/>
    <w:rsid w:val="00EB2BE8"/>
    <w:rsid w:val="00EC3746"/>
    <w:rsid w:val="00EC5334"/>
    <w:rsid w:val="00F539FB"/>
    <w:rsid w:val="00F85528"/>
    <w:rsid w:val="00FA2C7F"/>
    <w:rsid w:val="00FD6C5F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D520C8"/>
    <w:pPr>
      <w:spacing w:after="0"/>
      <w:jc w:val="center"/>
    </w:pPr>
    <w:rPr>
      <w:rFonts w:ascii="Aptos" w:hAnsi="Aptos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520C8"/>
    <w:rPr>
      <w:rFonts w:ascii="Aptos" w:hAnsi="Aptos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520C8"/>
    <w:pPr>
      <w:spacing w:line="240" w:lineRule="auto"/>
      <w:jc w:val="both"/>
    </w:pPr>
    <w:rPr>
      <w:rFonts w:ascii="Aptos" w:hAnsi="Aptos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520C8"/>
    <w:rPr>
      <w:rFonts w:ascii="Aptos" w:hAnsi="Apto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Elissar Mansour</cp:lastModifiedBy>
  <cp:revision>48</cp:revision>
  <dcterms:created xsi:type="dcterms:W3CDTF">2025-05-25T08:16:00Z</dcterms:created>
  <dcterms:modified xsi:type="dcterms:W3CDTF">2025-05-28T00:57:00Z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