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59381393" w:rsidR="00DF1C8E" w:rsidRDefault="006574CF" w:rsidP="006574CF">
      <w:pPr>
        <w:ind w:left="284" w:right="282"/>
        <w:jc w:val="center"/>
        <w:rPr>
          <w:rFonts w:ascii="Calibri" w:hAnsi="Calibri" w:cs="Calibri"/>
          <w:b/>
          <w:sz w:val="28"/>
          <w:szCs w:val="28"/>
          <w:lang w:val="en-AU"/>
        </w:rPr>
      </w:pPr>
      <w:r w:rsidRPr="006574CF">
        <w:rPr>
          <w:rFonts w:ascii="Calibri" w:hAnsi="Calibri" w:cs="Calibri"/>
          <w:b/>
          <w:sz w:val="28"/>
          <w:szCs w:val="28"/>
          <w:lang w:val="en-AU"/>
        </w:rPr>
        <w:t>Hydrogel platform with independently tailorable mechanical properties for directing stem cell fate</w:t>
      </w:r>
    </w:p>
    <w:p w14:paraId="5753CDDC" w14:textId="77777777" w:rsidR="006574CF" w:rsidRDefault="006574CF" w:rsidP="006574CF">
      <w:pPr>
        <w:ind w:left="284" w:right="282"/>
        <w:jc w:val="center"/>
        <w:rPr>
          <w:rFonts w:ascii="Calibri" w:hAnsi="Calibri" w:cs="Calibri"/>
          <w:sz w:val="20"/>
          <w:szCs w:val="20"/>
          <w:lang w:val="en-AU"/>
        </w:rPr>
      </w:pPr>
    </w:p>
    <w:p w14:paraId="73ACD5E5" w14:textId="57736B72" w:rsidR="006574CF" w:rsidRPr="006574CF" w:rsidRDefault="006574CF" w:rsidP="006574CF">
      <w:pPr>
        <w:ind w:left="284" w:right="282"/>
        <w:jc w:val="center"/>
        <w:rPr>
          <w:rFonts w:ascii="Calibri" w:hAnsi="Calibri" w:cs="Calibri"/>
          <w:i/>
        </w:rPr>
      </w:pPr>
      <w:r w:rsidRPr="006574CF">
        <w:rPr>
          <w:rFonts w:ascii="Calibri" w:hAnsi="Calibri" w:cs="Calibri"/>
          <w:i/>
        </w:rPr>
        <w:t xml:space="preserve">Diwei </w:t>
      </w:r>
      <w:proofErr w:type="spellStart"/>
      <w:r w:rsidRPr="006574CF">
        <w:rPr>
          <w:rFonts w:ascii="Calibri" w:hAnsi="Calibri" w:cs="Calibri"/>
          <w:i/>
        </w:rPr>
        <w:t>Ho</w:t>
      </w:r>
      <w:r w:rsidRPr="000E6A7A">
        <w:rPr>
          <w:rFonts w:ascii="Calibri" w:hAnsi="Calibri" w:cs="Calibri"/>
          <w:i/>
          <w:vertAlign w:val="superscript"/>
        </w:rPr>
        <w:t>A</w:t>
      </w:r>
      <w:proofErr w:type="spellEnd"/>
      <w:r w:rsidRPr="006574CF">
        <w:rPr>
          <w:rFonts w:ascii="Calibri" w:hAnsi="Calibri" w:cs="Calibri"/>
          <w:i/>
        </w:rPr>
        <w:t xml:space="preserve">, Peter K.H. </w:t>
      </w:r>
      <w:proofErr w:type="gramStart"/>
      <w:r w:rsidRPr="006574CF">
        <w:rPr>
          <w:rFonts w:ascii="Calibri" w:hAnsi="Calibri" w:cs="Calibri"/>
          <w:i/>
        </w:rPr>
        <w:t>Lee</w:t>
      </w:r>
      <w:r>
        <w:rPr>
          <w:rFonts w:ascii="Calibri" w:hAnsi="Calibri" w:cs="Calibri"/>
          <w:i/>
          <w:vertAlign w:val="superscript"/>
        </w:rPr>
        <w:t>A</w:t>
      </w:r>
      <w:r w:rsidRPr="006574CF">
        <w:rPr>
          <w:rFonts w:ascii="Calibri" w:hAnsi="Calibri" w:cs="Calibri"/>
          <w:i/>
          <w:vertAlign w:val="superscript"/>
        </w:rPr>
        <w:t>,</w:t>
      </w:r>
      <w:r>
        <w:rPr>
          <w:rFonts w:ascii="Calibri" w:hAnsi="Calibri" w:cs="Calibri"/>
          <w:i/>
          <w:vertAlign w:val="superscript"/>
        </w:rPr>
        <w:t>B</w:t>
      </w:r>
      <w:proofErr w:type="gramEnd"/>
      <w:r w:rsidRPr="006574CF">
        <w:rPr>
          <w:rFonts w:ascii="Calibri" w:hAnsi="Calibri" w:cs="Calibri"/>
          <w:i/>
        </w:rPr>
        <w:t xml:space="preserve">, Ian L. </w:t>
      </w:r>
      <w:proofErr w:type="spellStart"/>
      <w:r w:rsidRPr="006574CF">
        <w:rPr>
          <w:rFonts w:ascii="Calibri" w:hAnsi="Calibri" w:cs="Calibri"/>
          <w:i/>
        </w:rPr>
        <w:t>Chin</w:t>
      </w:r>
      <w:r>
        <w:rPr>
          <w:rFonts w:ascii="Calibri" w:hAnsi="Calibri" w:cs="Calibri"/>
          <w:i/>
          <w:vertAlign w:val="superscript"/>
        </w:rPr>
        <w:t>C</w:t>
      </w:r>
      <w:proofErr w:type="spellEnd"/>
      <w:r w:rsidRPr="006574CF">
        <w:rPr>
          <w:rFonts w:ascii="Calibri" w:hAnsi="Calibri" w:cs="Calibri"/>
          <w:i/>
        </w:rPr>
        <w:t>, Yu Suk Choi</w:t>
      </w:r>
      <w:r>
        <w:rPr>
          <w:rFonts w:ascii="Calibri" w:hAnsi="Calibri" w:cs="Calibri"/>
          <w:i/>
          <w:vertAlign w:val="superscript"/>
        </w:rPr>
        <w:t>C</w:t>
      </w:r>
      <w:r w:rsidRPr="006574CF">
        <w:rPr>
          <w:rFonts w:ascii="Calibri" w:hAnsi="Calibri" w:cs="Calibri"/>
          <w:i/>
        </w:rPr>
        <w:t xml:space="preserve">, Adam D. </w:t>
      </w:r>
      <w:proofErr w:type="spellStart"/>
      <w:r w:rsidRPr="006574CF">
        <w:rPr>
          <w:rFonts w:ascii="Calibri" w:hAnsi="Calibri" w:cs="Calibri"/>
          <w:i/>
        </w:rPr>
        <w:t>Martin</w:t>
      </w:r>
      <w:r>
        <w:rPr>
          <w:rFonts w:ascii="Calibri" w:hAnsi="Calibri" w:cs="Calibri"/>
          <w:i/>
          <w:vertAlign w:val="superscript"/>
        </w:rPr>
        <w:t>D</w:t>
      </w:r>
      <w:proofErr w:type="spellEnd"/>
      <w:r w:rsidRPr="006574CF">
        <w:rPr>
          <w:rFonts w:ascii="Calibri" w:hAnsi="Calibri" w:cs="Calibri"/>
          <w:i/>
        </w:rPr>
        <w:t>, Pall Thordarson</w:t>
      </w:r>
      <w:r>
        <w:rPr>
          <w:rFonts w:ascii="Calibri" w:hAnsi="Calibri" w:cs="Calibri"/>
          <w:i/>
          <w:vertAlign w:val="superscript"/>
        </w:rPr>
        <w:t>E</w:t>
      </w:r>
      <w:r w:rsidRPr="006574CF">
        <w:rPr>
          <w:rFonts w:ascii="Calibri" w:hAnsi="Calibri" w:cs="Calibri"/>
          <w:i/>
          <w:vertAlign w:val="superscript"/>
        </w:rPr>
        <w:t>,</w:t>
      </w:r>
      <w:r>
        <w:rPr>
          <w:rFonts w:ascii="Calibri" w:hAnsi="Calibri" w:cs="Calibri"/>
          <w:i/>
          <w:vertAlign w:val="superscript"/>
        </w:rPr>
        <w:t>F</w:t>
      </w:r>
      <w:r w:rsidRPr="006574CF">
        <w:rPr>
          <w:rFonts w:ascii="Calibri" w:hAnsi="Calibri" w:cs="Calibri"/>
          <w:i/>
        </w:rPr>
        <w:t>, Marck Norret</w:t>
      </w:r>
      <w:r>
        <w:rPr>
          <w:rFonts w:ascii="Calibri" w:hAnsi="Calibri" w:cs="Calibri"/>
          <w:i/>
          <w:vertAlign w:val="superscript"/>
        </w:rPr>
        <w:t>A</w:t>
      </w:r>
      <w:r w:rsidRPr="006574CF">
        <w:rPr>
          <w:rFonts w:ascii="Calibri" w:hAnsi="Calibri" w:cs="Calibri"/>
          <w:i/>
        </w:rPr>
        <w:t xml:space="preserve">, K. Swaminathan </w:t>
      </w:r>
      <w:proofErr w:type="spellStart"/>
      <w:r w:rsidRPr="006574CF">
        <w:rPr>
          <w:rFonts w:ascii="Calibri" w:hAnsi="Calibri" w:cs="Calibri"/>
          <w:i/>
        </w:rPr>
        <w:t>Iyer</w:t>
      </w:r>
      <w:r>
        <w:rPr>
          <w:rFonts w:ascii="Calibri" w:hAnsi="Calibri" w:cs="Calibri"/>
          <w:i/>
          <w:vertAlign w:val="superscript"/>
        </w:rPr>
        <w:t>A</w:t>
      </w:r>
      <w:proofErr w:type="spellEnd"/>
      <w:r w:rsidRPr="006574CF">
        <w:rPr>
          <w:rFonts w:ascii="Calibri" w:hAnsi="Calibri" w:cs="Calibri"/>
          <w:i/>
        </w:rPr>
        <w:t xml:space="preserve"> </w:t>
      </w:r>
    </w:p>
    <w:p w14:paraId="31479071" w14:textId="77777777" w:rsidR="00997C34" w:rsidRPr="006574CF" w:rsidRDefault="00997C34" w:rsidP="009A4CFF">
      <w:pPr>
        <w:ind w:left="284" w:right="282"/>
        <w:jc w:val="center"/>
        <w:rPr>
          <w:rFonts w:ascii="Calibri" w:hAnsi="Calibri" w:cs="Calibri"/>
          <w:sz w:val="22"/>
          <w:szCs w:val="22"/>
          <w:vertAlign w:val="superscript"/>
        </w:rPr>
      </w:pPr>
    </w:p>
    <w:p w14:paraId="0E1D1FED" w14:textId="69DB22EE" w:rsidR="006574CF" w:rsidRPr="006574CF" w:rsidRDefault="006574CF" w:rsidP="006574CF">
      <w:pPr>
        <w:jc w:val="center"/>
        <w:rPr>
          <w:rFonts w:asciiTheme="minorHAnsi" w:eastAsia="MS Gothic" w:hAnsiTheme="minorHAnsi" w:cstheme="minorHAnsi"/>
          <w:sz w:val="22"/>
          <w:szCs w:val="22"/>
        </w:rPr>
      </w:pPr>
      <w:proofErr w:type="spellStart"/>
      <w:r>
        <w:rPr>
          <w:rFonts w:asciiTheme="minorHAnsi" w:eastAsia="MS Gothic" w:hAnsiTheme="minorHAnsi" w:cstheme="minorHAnsi"/>
          <w:sz w:val="22"/>
          <w:szCs w:val="22"/>
          <w:vertAlign w:val="superscript"/>
        </w:rPr>
        <w:t>A</w:t>
      </w:r>
      <w:r w:rsidRPr="006574CF">
        <w:rPr>
          <w:rFonts w:asciiTheme="minorHAnsi" w:eastAsia="MS Gothic" w:hAnsiTheme="minorHAnsi" w:cstheme="minorHAnsi"/>
          <w:sz w:val="22"/>
          <w:szCs w:val="22"/>
        </w:rPr>
        <w:t>School</w:t>
      </w:r>
      <w:proofErr w:type="spellEnd"/>
      <w:r w:rsidRPr="006574CF">
        <w:rPr>
          <w:rFonts w:asciiTheme="minorHAnsi" w:eastAsia="MS Gothic" w:hAnsiTheme="minorHAnsi" w:cstheme="minorHAnsi"/>
          <w:sz w:val="22"/>
          <w:szCs w:val="22"/>
        </w:rPr>
        <w:t xml:space="preserve"> of Molecular Sciences, The University of Western Australia, Perth, WA, Australia</w:t>
      </w:r>
      <w:r>
        <w:rPr>
          <w:rFonts w:asciiTheme="minorHAnsi" w:eastAsia="MS Gothic" w:hAnsiTheme="minorHAnsi" w:cstheme="minorHAnsi"/>
          <w:sz w:val="22"/>
          <w:szCs w:val="22"/>
        </w:rPr>
        <w:t xml:space="preserve">; </w:t>
      </w:r>
      <w:proofErr w:type="spellStart"/>
      <w:r>
        <w:rPr>
          <w:rFonts w:asciiTheme="minorHAnsi" w:eastAsia="MS Gothic" w:hAnsiTheme="minorHAnsi" w:cstheme="minorHAnsi"/>
          <w:sz w:val="22"/>
          <w:szCs w:val="22"/>
          <w:vertAlign w:val="superscript"/>
        </w:rPr>
        <w:t>B</w:t>
      </w:r>
      <w:r w:rsidRPr="006574CF">
        <w:rPr>
          <w:rFonts w:asciiTheme="minorHAnsi" w:eastAsia="MS Gothic" w:hAnsiTheme="minorHAnsi" w:cstheme="minorHAnsi"/>
          <w:sz w:val="22"/>
          <w:szCs w:val="22"/>
        </w:rPr>
        <w:t>Department</w:t>
      </w:r>
      <w:proofErr w:type="spellEnd"/>
      <w:r w:rsidRPr="006574CF">
        <w:rPr>
          <w:rFonts w:asciiTheme="minorHAnsi" w:eastAsia="MS Gothic" w:hAnsiTheme="minorHAnsi" w:cstheme="minorHAnsi"/>
          <w:sz w:val="22"/>
          <w:szCs w:val="22"/>
        </w:rPr>
        <w:t xml:space="preserve"> of Biology &amp; Biochemistry, University of Bath, Bath, BA2 7AY, United Kingdom</w:t>
      </w:r>
      <w:r>
        <w:rPr>
          <w:rFonts w:asciiTheme="minorHAnsi" w:eastAsia="MS Gothic" w:hAnsiTheme="minorHAnsi" w:cstheme="minorHAnsi"/>
          <w:sz w:val="22"/>
          <w:szCs w:val="22"/>
        </w:rPr>
        <w:t xml:space="preserve">; </w:t>
      </w:r>
      <w:proofErr w:type="spellStart"/>
      <w:r>
        <w:rPr>
          <w:rFonts w:asciiTheme="minorHAnsi" w:eastAsia="MS Gothic" w:hAnsiTheme="minorHAnsi" w:cstheme="minorHAnsi"/>
          <w:sz w:val="22"/>
          <w:szCs w:val="22"/>
          <w:vertAlign w:val="superscript"/>
        </w:rPr>
        <w:t>C</w:t>
      </w:r>
      <w:r w:rsidRPr="006574CF">
        <w:rPr>
          <w:rFonts w:asciiTheme="minorHAnsi" w:eastAsia="MS Gothic" w:hAnsiTheme="minorHAnsi" w:cstheme="minorHAnsi"/>
          <w:sz w:val="22"/>
          <w:szCs w:val="22"/>
        </w:rPr>
        <w:t>School</w:t>
      </w:r>
      <w:proofErr w:type="spellEnd"/>
      <w:r w:rsidRPr="006574CF">
        <w:rPr>
          <w:rFonts w:asciiTheme="minorHAnsi" w:eastAsia="MS Gothic" w:hAnsiTheme="minorHAnsi" w:cstheme="minorHAnsi"/>
          <w:sz w:val="22"/>
          <w:szCs w:val="22"/>
        </w:rPr>
        <w:t xml:space="preserve"> of Human Sciences, The University of Western Australia, Perth, WA, Australia</w:t>
      </w:r>
      <w:r>
        <w:rPr>
          <w:rFonts w:asciiTheme="minorHAnsi" w:eastAsia="MS Gothic" w:hAnsiTheme="minorHAnsi" w:cstheme="minorHAnsi"/>
          <w:sz w:val="22"/>
          <w:szCs w:val="22"/>
        </w:rPr>
        <w:t xml:space="preserve">; </w:t>
      </w:r>
      <w:proofErr w:type="spellStart"/>
      <w:r>
        <w:rPr>
          <w:rFonts w:asciiTheme="minorHAnsi" w:eastAsia="MS Gothic" w:hAnsiTheme="minorHAnsi" w:cstheme="minorHAnsi"/>
          <w:sz w:val="22"/>
          <w:szCs w:val="22"/>
          <w:vertAlign w:val="superscript"/>
        </w:rPr>
        <w:t>D</w:t>
      </w:r>
      <w:r w:rsidRPr="006574CF">
        <w:rPr>
          <w:rFonts w:asciiTheme="minorHAnsi" w:eastAsia="MS Gothic" w:hAnsiTheme="minorHAnsi" w:cstheme="minorHAnsi"/>
          <w:sz w:val="22"/>
          <w:szCs w:val="22"/>
        </w:rPr>
        <w:t>Department</w:t>
      </w:r>
      <w:proofErr w:type="spellEnd"/>
      <w:r w:rsidRPr="006574CF">
        <w:rPr>
          <w:rFonts w:asciiTheme="minorHAnsi" w:eastAsia="MS Gothic" w:hAnsiTheme="minorHAnsi" w:cstheme="minorHAnsi"/>
          <w:sz w:val="22"/>
          <w:szCs w:val="22"/>
        </w:rPr>
        <w:t xml:space="preserve"> of Biomedical Sciences, Macquarie University, Sydney, NSW, Australia</w:t>
      </w:r>
      <w:r>
        <w:rPr>
          <w:rFonts w:asciiTheme="minorHAnsi" w:eastAsia="MS Gothic" w:hAnsiTheme="minorHAnsi" w:cstheme="minorHAnsi"/>
          <w:sz w:val="22"/>
          <w:szCs w:val="22"/>
        </w:rPr>
        <w:t xml:space="preserve">; </w:t>
      </w:r>
      <w:proofErr w:type="spellStart"/>
      <w:r>
        <w:rPr>
          <w:rFonts w:asciiTheme="minorHAnsi" w:eastAsia="MS Gothic" w:hAnsiTheme="minorHAnsi" w:cstheme="minorHAnsi"/>
          <w:sz w:val="22"/>
          <w:szCs w:val="22"/>
          <w:vertAlign w:val="superscript"/>
        </w:rPr>
        <w:t>E</w:t>
      </w:r>
      <w:r w:rsidRPr="006574CF">
        <w:rPr>
          <w:rFonts w:asciiTheme="minorHAnsi" w:eastAsia="MS Gothic" w:hAnsiTheme="minorHAnsi" w:cstheme="minorHAnsi"/>
          <w:sz w:val="22"/>
          <w:szCs w:val="22"/>
        </w:rPr>
        <w:t>School</w:t>
      </w:r>
      <w:proofErr w:type="spellEnd"/>
      <w:r w:rsidRPr="006574CF">
        <w:rPr>
          <w:rFonts w:asciiTheme="minorHAnsi" w:eastAsia="MS Gothic" w:hAnsiTheme="minorHAnsi" w:cstheme="minorHAnsi"/>
          <w:sz w:val="22"/>
          <w:szCs w:val="22"/>
        </w:rPr>
        <w:t xml:space="preserve"> of Chemistry, University of New South Wales, Sydney, NSW, Australia</w:t>
      </w:r>
      <w:r>
        <w:rPr>
          <w:rFonts w:asciiTheme="minorHAnsi" w:eastAsia="MS Gothic" w:hAnsiTheme="minorHAnsi" w:cstheme="minorHAnsi"/>
          <w:sz w:val="22"/>
          <w:szCs w:val="22"/>
        </w:rPr>
        <w:t xml:space="preserve">; </w:t>
      </w:r>
      <w:proofErr w:type="spellStart"/>
      <w:r>
        <w:rPr>
          <w:rFonts w:asciiTheme="minorHAnsi" w:eastAsia="MS Gothic" w:hAnsiTheme="minorHAnsi" w:cstheme="minorHAnsi"/>
          <w:sz w:val="22"/>
          <w:szCs w:val="22"/>
          <w:vertAlign w:val="superscript"/>
        </w:rPr>
        <w:t>F</w:t>
      </w:r>
      <w:r w:rsidRPr="006574CF">
        <w:rPr>
          <w:rFonts w:asciiTheme="minorHAnsi" w:eastAsia="MS Gothic" w:hAnsiTheme="minorHAnsi" w:cstheme="minorHAnsi"/>
          <w:sz w:val="22"/>
          <w:szCs w:val="22"/>
        </w:rPr>
        <w:t>The</w:t>
      </w:r>
      <w:proofErr w:type="spellEnd"/>
      <w:r w:rsidRPr="006574CF">
        <w:rPr>
          <w:rFonts w:asciiTheme="minorHAnsi" w:eastAsia="MS Gothic" w:hAnsiTheme="minorHAnsi" w:cstheme="minorHAnsi"/>
          <w:sz w:val="22"/>
          <w:szCs w:val="22"/>
        </w:rPr>
        <w:t xml:space="preserve"> Australian Centre for Nanomedicine and the ARC Centre of Excellence in Convergent Bio-Nano Science and Technology, Sydney, NSW, Australia</w:t>
      </w:r>
      <w:r>
        <w:rPr>
          <w:rFonts w:asciiTheme="minorHAnsi" w:eastAsia="MS Gothic" w:hAnsiTheme="minorHAnsi" w:cstheme="minorHAnsi"/>
          <w:sz w:val="22"/>
          <w:szCs w:val="22"/>
        </w:rPr>
        <w:t>.</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35D9DF9C" w14:textId="36A46B96" w:rsidR="00711813" w:rsidRPr="006574CF" w:rsidRDefault="006574CF" w:rsidP="006574CF">
      <w:pPr>
        <w:ind w:right="282"/>
        <w:jc w:val="both"/>
        <w:rPr>
          <w:rFonts w:ascii="Calibri" w:hAnsi="Calibri" w:cs="Calibri"/>
          <w:lang w:val="en-AU"/>
        </w:rPr>
      </w:pPr>
      <w:r w:rsidRPr="006574CF">
        <w:rPr>
          <w:rFonts w:ascii="Calibri" w:hAnsi="Calibri" w:cs="Calibri"/>
          <w:b/>
          <w:bCs/>
          <w:lang w:val="en-AU"/>
        </w:rPr>
        <w:t>Abstract</w:t>
      </w:r>
    </w:p>
    <w:p w14:paraId="0F4E9531" w14:textId="64144CEC" w:rsidR="006574CF" w:rsidRDefault="006574CF" w:rsidP="006574CF">
      <w:pPr>
        <w:snapToGrid w:val="0"/>
        <w:jc w:val="both"/>
        <w:rPr>
          <w:rFonts w:asciiTheme="minorHAnsi" w:eastAsia="MS Gothic" w:hAnsiTheme="minorHAnsi" w:cstheme="minorHAnsi"/>
          <w:sz w:val="22"/>
          <w:szCs w:val="22"/>
          <w:lang w:val="en-GB"/>
        </w:rPr>
      </w:pPr>
      <w:r w:rsidRPr="006574CF">
        <w:rPr>
          <w:rFonts w:asciiTheme="minorHAnsi" w:eastAsia="MS Gothic" w:hAnsiTheme="minorHAnsi" w:cstheme="minorHAnsi"/>
          <w:sz w:val="22"/>
          <w:szCs w:val="22"/>
          <w:lang w:val="en-GB"/>
        </w:rPr>
        <w:t>Stem cells are undifferentiated cells that have the capacity to differentiate into various cell types with widespread applications in regenerative medicine and tissue engineering. Stem cell behaviour and fate has been known to be influenced by their microenvironmental biochemical and biophysical cues</w:t>
      </w:r>
      <w:r w:rsidR="008A6DE3">
        <w:rPr>
          <w:rFonts w:asciiTheme="minorHAnsi" w:eastAsia="MS Gothic" w:hAnsiTheme="minorHAnsi" w:cstheme="minorHAnsi"/>
          <w:sz w:val="22"/>
          <w:szCs w:val="22"/>
          <w:lang w:val="en-GB"/>
        </w:rPr>
        <w:t xml:space="preserve"> (Chen </w:t>
      </w:r>
      <w:r w:rsidR="008A6DE3" w:rsidRPr="002E0105">
        <w:rPr>
          <w:rFonts w:asciiTheme="minorHAnsi" w:eastAsia="MS Gothic" w:hAnsiTheme="minorHAnsi" w:cstheme="minorHAnsi"/>
          <w:i/>
          <w:iCs/>
          <w:sz w:val="22"/>
          <w:szCs w:val="22"/>
          <w:lang w:val="en-GB"/>
        </w:rPr>
        <w:t>et al</w:t>
      </w:r>
      <w:r w:rsidR="002E0105" w:rsidRPr="002E0105">
        <w:rPr>
          <w:rFonts w:asciiTheme="minorHAnsi" w:eastAsia="MS Gothic" w:hAnsiTheme="minorHAnsi" w:cstheme="minorHAnsi"/>
          <w:i/>
          <w:iCs/>
          <w:sz w:val="22"/>
          <w:szCs w:val="22"/>
          <w:lang w:val="en-GB"/>
        </w:rPr>
        <w:t>.</w:t>
      </w:r>
      <w:r w:rsidR="002E0105">
        <w:rPr>
          <w:rFonts w:asciiTheme="minorHAnsi" w:eastAsia="MS Gothic" w:hAnsiTheme="minorHAnsi" w:cstheme="minorHAnsi"/>
          <w:sz w:val="22"/>
          <w:szCs w:val="22"/>
          <w:lang w:val="en-GB"/>
        </w:rPr>
        <w:t xml:space="preserve"> 2019)</w:t>
      </w:r>
      <w:r w:rsidRPr="006574CF">
        <w:rPr>
          <w:rFonts w:asciiTheme="minorHAnsi" w:eastAsia="MS Gothic" w:hAnsiTheme="minorHAnsi" w:cstheme="minorHAnsi"/>
          <w:sz w:val="22"/>
          <w:szCs w:val="22"/>
          <w:lang w:val="en-GB"/>
        </w:rPr>
        <w:t>. Hydrogels are commonly utilised in the regulation and study of stem cell fate due to their similarities to extracellular matrix that stem cells are typically exposed to</w:t>
      </w:r>
      <w:r w:rsidR="002E0105">
        <w:rPr>
          <w:rFonts w:asciiTheme="minorHAnsi" w:eastAsia="MS Gothic" w:hAnsiTheme="minorHAnsi" w:cstheme="minorHAnsi"/>
          <w:sz w:val="22"/>
          <w:szCs w:val="22"/>
          <w:lang w:val="en-GB"/>
        </w:rPr>
        <w:t xml:space="preserve"> (Tsou</w:t>
      </w:r>
      <w:r w:rsidR="00103D52">
        <w:rPr>
          <w:rFonts w:asciiTheme="minorHAnsi" w:eastAsia="MS Gothic" w:hAnsiTheme="minorHAnsi" w:cstheme="minorHAnsi"/>
          <w:sz w:val="22"/>
          <w:szCs w:val="22"/>
          <w:lang w:val="en-GB"/>
        </w:rPr>
        <w:t xml:space="preserve"> </w:t>
      </w:r>
      <w:r w:rsidR="00103D52">
        <w:rPr>
          <w:rFonts w:asciiTheme="minorHAnsi" w:eastAsia="MS Gothic" w:hAnsiTheme="minorHAnsi" w:cstheme="minorHAnsi"/>
          <w:i/>
          <w:iCs/>
          <w:sz w:val="22"/>
          <w:szCs w:val="22"/>
          <w:lang w:val="en-GB"/>
        </w:rPr>
        <w:t>et al.</w:t>
      </w:r>
      <w:r w:rsidR="00103D52">
        <w:rPr>
          <w:rFonts w:asciiTheme="minorHAnsi" w:eastAsia="MS Gothic" w:hAnsiTheme="minorHAnsi" w:cstheme="minorHAnsi"/>
          <w:sz w:val="22"/>
          <w:szCs w:val="22"/>
          <w:lang w:val="en-GB"/>
        </w:rPr>
        <w:t xml:space="preserve"> 2016)</w:t>
      </w:r>
      <w:r w:rsidRPr="006574CF">
        <w:rPr>
          <w:rFonts w:asciiTheme="minorHAnsi" w:eastAsia="MS Gothic" w:hAnsiTheme="minorHAnsi" w:cstheme="minorHAnsi"/>
          <w:sz w:val="22"/>
          <w:szCs w:val="22"/>
          <w:lang w:val="en-GB"/>
        </w:rPr>
        <w:t>. However, the mechanical properties (i.e. shear modulus, Young’s modulus and porosity) of hydrogels used in stem cell fate studies are frequently coupled together; changing one property will affect another. This aspect makes it difficult to control and limit the variables when studying stem cell fate.</w:t>
      </w:r>
      <w:r w:rsidR="00EF3D3F">
        <w:rPr>
          <w:rFonts w:asciiTheme="minorHAnsi" w:eastAsia="MS Gothic" w:hAnsiTheme="minorHAnsi" w:cstheme="minorHAnsi"/>
          <w:sz w:val="22"/>
          <w:szCs w:val="22"/>
          <w:lang w:val="en-GB"/>
        </w:rPr>
        <w:t xml:space="preserve"> </w:t>
      </w:r>
      <w:r w:rsidRPr="006574CF">
        <w:rPr>
          <w:rFonts w:asciiTheme="minorHAnsi" w:eastAsia="MS Gothic" w:hAnsiTheme="minorHAnsi" w:cstheme="minorHAnsi"/>
          <w:sz w:val="22"/>
          <w:szCs w:val="22"/>
          <w:lang w:val="en-GB"/>
        </w:rPr>
        <w:t>In this work, we develop and characterise a library of hydrogels made from dendronized polymers of which the mechanical properties and characteristics</w:t>
      </w:r>
      <w:r w:rsidR="00EF3D3F">
        <w:rPr>
          <w:rFonts w:asciiTheme="minorHAnsi" w:eastAsia="MS Gothic" w:hAnsiTheme="minorHAnsi" w:cstheme="minorHAnsi"/>
          <w:sz w:val="22"/>
          <w:szCs w:val="22"/>
          <w:lang w:val="en-GB"/>
        </w:rPr>
        <w:t xml:space="preserve"> (</w:t>
      </w:r>
      <w:r w:rsidR="00EF3D3F" w:rsidRPr="00EF3D3F">
        <w:rPr>
          <w:rFonts w:asciiTheme="minorHAnsi" w:eastAsia="MS Gothic" w:hAnsiTheme="minorHAnsi" w:cstheme="minorHAnsi"/>
          <w:sz w:val="22"/>
          <w:szCs w:val="22"/>
          <w:lang w:val="en-GB"/>
        </w:rPr>
        <w:t>Fig</w:t>
      </w:r>
      <w:r w:rsidR="00EF3D3F">
        <w:rPr>
          <w:rFonts w:asciiTheme="minorHAnsi" w:eastAsia="MS Gothic" w:hAnsiTheme="minorHAnsi" w:cstheme="minorHAnsi"/>
          <w:sz w:val="22"/>
          <w:szCs w:val="22"/>
          <w:lang w:val="en-GB"/>
        </w:rPr>
        <w:t>.</w:t>
      </w:r>
      <w:r w:rsidR="00EF3D3F" w:rsidRPr="00EF3D3F">
        <w:rPr>
          <w:rFonts w:asciiTheme="minorHAnsi" w:eastAsia="MS Gothic" w:hAnsiTheme="minorHAnsi" w:cstheme="minorHAnsi"/>
          <w:sz w:val="22"/>
          <w:szCs w:val="22"/>
          <w:lang w:val="en-GB"/>
        </w:rPr>
        <w:t xml:space="preserve"> 1</w:t>
      </w:r>
      <w:r w:rsidR="00EF3D3F">
        <w:rPr>
          <w:rFonts w:asciiTheme="minorHAnsi" w:eastAsia="MS Gothic" w:hAnsiTheme="minorHAnsi" w:cstheme="minorHAnsi"/>
          <w:sz w:val="22"/>
          <w:szCs w:val="22"/>
          <w:lang w:val="en-GB"/>
        </w:rPr>
        <w:t>)</w:t>
      </w:r>
      <w:r w:rsidRPr="006574CF">
        <w:rPr>
          <w:rFonts w:asciiTheme="minorHAnsi" w:eastAsia="MS Gothic" w:hAnsiTheme="minorHAnsi" w:cstheme="minorHAnsi"/>
          <w:sz w:val="22"/>
          <w:szCs w:val="22"/>
          <w:lang w:val="en-GB"/>
        </w:rPr>
        <w:t xml:space="preserve"> can be adjusted independently from one another. This is achieved through the crosslinking of flexible dendritic polymers (</w:t>
      </w:r>
      <w:proofErr w:type="spellStart"/>
      <w:r w:rsidRPr="006574CF">
        <w:rPr>
          <w:rFonts w:asciiTheme="minorHAnsi" w:eastAsia="MS Gothic" w:hAnsiTheme="minorHAnsi" w:cstheme="minorHAnsi"/>
          <w:sz w:val="22"/>
          <w:szCs w:val="22"/>
          <w:lang w:val="en-GB"/>
        </w:rPr>
        <w:t>pHEMA</w:t>
      </w:r>
      <w:proofErr w:type="spellEnd"/>
      <w:r w:rsidRPr="006574CF">
        <w:rPr>
          <w:rFonts w:asciiTheme="minorHAnsi" w:eastAsia="MS Gothic" w:hAnsiTheme="minorHAnsi" w:cstheme="minorHAnsi"/>
          <w:sz w:val="22"/>
          <w:szCs w:val="22"/>
          <w:lang w:val="en-GB"/>
        </w:rPr>
        <w:t xml:space="preserve">-ran-GMA) with varying </w:t>
      </w:r>
      <w:proofErr w:type="gramStart"/>
      <w:r w:rsidRPr="006574CF">
        <w:rPr>
          <w:rFonts w:asciiTheme="minorHAnsi" w:eastAsia="MS Gothic" w:hAnsiTheme="minorHAnsi" w:cstheme="minorHAnsi"/>
          <w:sz w:val="22"/>
          <w:szCs w:val="22"/>
          <w:lang w:val="en-GB"/>
        </w:rPr>
        <w:t>poly(</w:t>
      </w:r>
      <w:proofErr w:type="spellStart"/>
      <w:proofErr w:type="gramEnd"/>
      <w:r w:rsidRPr="006574CF">
        <w:rPr>
          <w:rFonts w:asciiTheme="minorHAnsi" w:eastAsia="MS Gothic" w:hAnsiTheme="minorHAnsi" w:cstheme="minorHAnsi"/>
          <w:sz w:val="22"/>
          <w:szCs w:val="22"/>
          <w:lang w:val="en-GB"/>
        </w:rPr>
        <w:t>amido</w:t>
      </w:r>
      <w:proofErr w:type="spellEnd"/>
      <w:r w:rsidRPr="006574CF">
        <w:rPr>
          <w:rFonts w:asciiTheme="minorHAnsi" w:eastAsia="MS Gothic" w:hAnsiTheme="minorHAnsi" w:cstheme="minorHAnsi"/>
          <w:sz w:val="22"/>
          <w:szCs w:val="22"/>
          <w:lang w:val="en-GB"/>
        </w:rPr>
        <w:t xml:space="preserve"> amine) (PAMAM) dendron generations (G</w:t>
      </w:r>
      <w:r w:rsidRPr="006574CF">
        <w:rPr>
          <w:rFonts w:asciiTheme="minorHAnsi" w:eastAsia="MS Gothic" w:hAnsiTheme="minorHAnsi" w:cstheme="minorHAnsi"/>
          <w:sz w:val="22"/>
          <w:szCs w:val="22"/>
          <w:vertAlign w:val="subscript"/>
          <w:lang w:val="en-GB"/>
        </w:rPr>
        <w:t>3</w:t>
      </w:r>
      <w:r w:rsidRPr="006574CF">
        <w:rPr>
          <w:rFonts w:asciiTheme="minorHAnsi" w:eastAsia="MS Gothic" w:hAnsiTheme="minorHAnsi" w:cstheme="minorHAnsi"/>
          <w:sz w:val="22"/>
          <w:szCs w:val="22"/>
          <w:lang w:val="en-GB"/>
        </w:rPr>
        <w:t xml:space="preserve"> to G</w:t>
      </w:r>
      <w:r w:rsidRPr="006574CF">
        <w:rPr>
          <w:rFonts w:asciiTheme="minorHAnsi" w:eastAsia="MS Gothic" w:hAnsiTheme="minorHAnsi" w:cstheme="minorHAnsi"/>
          <w:sz w:val="22"/>
          <w:szCs w:val="22"/>
          <w:vertAlign w:val="subscript"/>
          <w:lang w:val="en-GB"/>
        </w:rPr>
        <w:t>5</w:t>
      </w:r>
      <w:r w:rsidRPr="006574CF">
        <w:rPr>
          <w:rFonts w:asciiTheme="minorHAnsi" w:eastAsia="MS Gothic" w:hAnsiTheme="minorHAnsi" w:cstheme="minorHAnsi"/>
          <w:sz w:val="22"/>
          <w:szCs w:val="22"/>
          <w:lang w:val="en-GB"/>
        </w:rPr>
        <w:t xml:space="preserve">) and GMA substitution on the polymer backbone. The mechanically tuneable hydrogel platform reflects the mechanical properties of various biological tissues and can be a useful tool in the investigation of stem cell fate. </w:t>
      </w:r>
    </w:p>
    <w:p w14:paraId="07FCAA43" w14:textId="5C06CB93" w:rsidR="006574CF" w:rsidRDefault="00DA33C6" w:rsidP="00EF3D3F">
      <w:pPr>
        <w:snapToGrid w:val="0"/>
        <w:jc w:val="center"/>
        <w:rPr>
          <w:rFonts w:asciiTheme="minorHAnsi" w:eastAsia="MS Gothic" w:hAnsiTheme="minorHAnsi" w:cstheme="minorHAnsi"/>
          <w:sz w:val="22"/>
          <w:szCs w:val="22"/>
          <w:lang w:val="en-GB"/>
        </w:rPr>
      </w:pPr>
      <w:r>
        <w:rPr>
          <w:rFonts w:asciiTheme="minorHAnsi" w:eastAsia="MS Gothic" w:hAnsiTheme="minorHAnsi" w:cstheme="minorHAnsi"/>
          <w:noProof/>
          <w:sz w:val="22"/>
          <w:szCs w:val="22"/>
          <w:lang w:val="en-GB"/>
        </w:rPr>
        <w:drawing>
          <wp:inline distT="0" distB="0" distL="0" distR="0" wp14:anchorId="32F4D4CB" wp14:editId="674D6A4D">
            <wp:extent cx="2714110" cy="2104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sity measurements 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6696" cy="2175977"/>
                    </a:xfrm>
                    <a:prstGeom prst="rect">
                      <a:avLst/>
                    </a:prstGeom>
                  </pic:spPr>
                </pic:pic>
              </a:graphicData>
            </a:graphic>
          </wp:inline>
        </w:drawing>
      </w:r>
      <w:bookmarkStart w:id="0" w:name="_GoBack"/>
      <w:bookmarkEnd w:id="0"/>
    </w:p>
    <w:p w14:paraId="0BBCA869" w14:textId="77777777" w:rsidR="00C03E6A" w:rsidRDefault="00C03E6A" w:rsidP="00EF3D3F">
      <w:pPr>
        <w:snapToGrid w:val="0"/>
        <w:jc w:val="center"/>
        <w:rPr>
          <w:rFonts w:asciiTheme="minorHAnsi" w:eastAsia="MS Gothic" w:hAnsiTheme="minorHAnsi" w:cstheme="minorHAnsi"/>
          <w:sz w:val="22"/>
          <w:szCs w:val="22"/>
          <w:lang w:val="en-GB"/>
        </w:rPr>
      </w:pPr>
    </w:p>
    <w:p w14:paraId="42BE81EB" w14:textId="573C265D" w:rsidR="00EF3D3F" w:rsidRPr="00A852C7" w:rsidRDefault="00EF3D3F" w:rsidP="00EF3D3F">
      <w:pPr>
        <w:jc w:val="both"/>
        <w:rPr>
          <w:rFonts w:asciiTheme="minorHAnsi" w:eastAsia="MS Gothic" w:hAnsiTheme="minorHAnsi" w:cstheme="minorHAnsi"/>
          <w:sz w:val="22"/>
          <w:szCs w:val="22"/>
          <w:lang w:val="en-GB"/>
        </w:rPr>
      </w:pPr>
      <w:r w:rsidRPr="00CF0A83">
        <w:rPr>
          <w:rFonts w:asciiTheme="minorHAnsi" w:hAnsiTheme="minorHAnsi" w:cstheme="minorHAnsi"/>
          <w:b/>
          <w:bCs/>
          <w:sz w:val="22"/>
          <w:szCs w:val="22"/>
        </w:rPr>
        <w:t>Fig</w:t>
      </w:r>
      <w:r>
        <w:rPr>
          <w:rFonts w:asciiTheme="minorHAnsi" w:hAnsiTheme="minorHAnsi" w:cstheme="minorHAnsi"/>
          <w:b/>
          <w:bCs/>
          <w:sz w:val="22"/>
          <w:szCs w:val="22"/>
        </w:rPr>
        <w:t>.</w:t>
      </w:r>
      <w:r w:rsidRPr="00CF0A83">
        <w:rPr>
          <w:rFonts w:asciiTheme="minorHAnsi" w:hAnsiTheme="minorHAnsi" w:cstheme="minorHAnsi"/>
          <w:b/>
          <w:bCs/>
          <w:sz w:val="22"/>
          <w:szCs w:val="22"/>
        </w:rPr>
        <w:t xml:space="preserve"> 1.</w:t>
      </w:r>
      <w:r>
        <w:rPr>
          <w:rFonts w:asciiTheme="minorHAnsi" w:hAnsiTheme="minorHAnsi" w:cstheme="minorHAnsi"/>
          <w:sz w:val="22"/>
          <w:szCs w:val="22"/>
        </w:rPr>
        <w:t xml:space="preserve"> Porosity of hydrogels made from </w:t>
      </w:r>
      <w:proofErr w:type="spellStart"/>
      <w:r w:rsidRPr="006574CF">
        <w:rPr>
          <w:rFonts w:asciiTheme="minorHAnsi" w:eastAsia="MS Gothic" w:hAnsiTheme="minorHAnsi" w:cstheme="minorHAnsi"/>
          <w:sz w:val="22"/>
          <w:szCs w:val="22"/>
          <w:lang w:val="en-GB"/>
        </w:rPr>
        <w:t>pHEMA</w:t>
      </w:r>
      <w:proofErr w:type="spellEnd"/>
      <w:r w:rsidRPr="006574CF">
        <w:rPr>
          <w:rFonts w:asciiTheme="minorHAnsi" w:eastAsia="MS Gothic" w:hAnsiTheme="minorHAnsi" w:cstheme="minorHAnsi"/>
          <w:sz w:val="22"/>
          <w:szCs w:val="22"/>
          <w:lang w:val="en-GB"/>
        </w:rPr>
        <w:t>-ran-GMA dendritic polymers with varying PAMAM dendron generations (G</w:t>
      </w:r>
      <w:r w:rsidRPr="006574CF">
        <w:rPr>
          <w:rFonts w:asciiTheme="minorHAnsi" w:eastAsia="MS Gothic" w:hAnsiTheme="minorHAnsi" w:cstheme="minorHAnsi"/>
          <w:sz w:val="22"/>
          <w:szCs w:val="22"/>
          <w:vertAlign w:val="subscript"/>
          <w:lang w:val="en-GB"/>
        </w:rPr>
        <w:t>3</w:t>
      </w:r>
      <w:r w:rsidRPr="006574CF">
        <w:rPr>
          <w:rFonts w:asciiTheme="minorHAnsi" w:eastAsia="MS Gothic" w:hAnsiTheme="minorHAnsi" w:cstheme="minorHAnsi"/>
          <w:sz w:val="22"/>
          <w:szCs w:val="22"/>
          <w:lang w:val="en-GB"/>
        </w:rPr>
        <w:t xml:space="preserve"> to G</w:t>
      </w:r>
      <w:r w:rsidRPr="006574CF">
        <w:rPr>
          <w:rFonts w:asciiTheme="minorHAnsi" w:eastAsia="MS Gothic" w:hAnsiTheme="minorHAnsi" w:cstheme="minorHAnsi"/>
          <w:sz w:val="22"/>
          <w:szCs w:val="22"/>
          <w:vertAlign w:val="subscript"/>
          <w:lang w:val="en-GB"/>
        </w:rPr>
        <w:t>5</w:t>
      </w:r>
      <w:r w:rsidRPr="006574CF">
        <w:rPr>
          <w:rFonts w:asciiTheme="minorHAnsi" w:eastAsia="MS Gothic" w:hAnsiTheme="minorHAnsi" w:cstheme="minorHAnsi"/>
          <w:sz w:val="22"/>
          <w:szCs w:val="22"/>
          <w:lang w:val="en-GB"/>
        </w:rPr>
        <w:t>) and GMA substitution on the polymer backbone.</w:t>
      </w:r>
      <w:r>
        <w:rPr>
          <w:rFonts w:asciiTheme="minorHAnsi" w:eastAsia="MS Gothic" w:hAnsiTheme="minorHAnsi" w:cstheme="minorHAnsi"/>
          <w:sz w:val="22"/>
          <w:szCs w:val="22"/>
          <w:lang w:val="en-GB"/>
        </w:rPr>
        <w:t xml:space="preserve"> Pore areas (a) and </w:t>
      </w:r>
      <w:proofErr w:type="spellStart"/>
      <w:r>
        <w:rPr>
          <w:rFonts w:asciiTheme="minorHAnsi" w:eastAsia="MS Gothic" w:hAnsiTheme="minorHAnsi" w:cstheme="minorHAnsi"/>
          <w:sz w:val="22"/>
          <w:szCs w:val="22"/>
          <w:lang w:val="en-GB"/>
        </w:rPr>
        <w:t>Feret</w:t>
      </w:r>
      <w:proofErr w:type="spellEnd"/>
      <w:r>
        <w:rPr>
          <w:rFonts w:asciiTheme="minorHAnsi" w:eastAsia="MS Gothic" w:hAnsiTheme="minorHAnsi" w:cstheme="minorHAnsi"/>
          <w:sz w:val="22"/>
          <w:szCs w:val="22"/>
          <w:lang w:val="en-GB"/>
        </w:rPr>
        <w:t xml:space="preserve"> diameters (b) were determined through analysis of SEM images (c) of freeze-dried hydrogels.</w:t>
      </w:r>
      <w:r w:rsidR="00AB454B">
        <w:rPr>
          <w:rFonts w:asciiTheme="minorHAnsi" w:eastAsia="MS Gothic" w:hAnsiTheme="minorHAnsi" w:cstheme="minorHAnsi"/>
          <w:sz w:val="22"/>
          <w:szCs w:val="22"/>
          <w:lang w:val="en-GB"/>
        </w:rPr>
        <w:t xml:space="preserve"> (</w:t>
      </w:r>
      <w:proofErr w:type="spellStart"/>
      <w:r w:rsidR="00AB454B">
        <w:rPr>
          <w:rFonts w:asciiTheme="minorHAnsi" w:eastAsia="MS Gothic" w:hAnsiTheme="minorHAnsi" w:cstheme="minorHAnsi"/>
          <w:sz w:val="22"/>
          <w:szCs w:val="22"/>
          <w:lang w:val="en-GB"/>
        </w:rPr>
        <w:t>a</w:t>
      </w:r>
      <w:r w:rsidR="00C350CD">
        <w:rPr>
          <w:rFonts w:asciiTheme="minorHAnsi" w:eastAsia="MS Gothic" w:hAnsiTheme="minorHAnsi" w:cstheme="minorHAnsi"/>
          <w:sz w:val="22"/>
          <w:szCs w:val="22"/>
          <w:lang w:val="en-GB"/>
        </w:rPr>
        <w:t>&amp;b</w:t>
      </w:r>
      <w:proofErr w:type="spellEnd"/>
      <w:r w:rsidR="00C350CD">
        <w:rPr>
          <w:rFonts w:asciiTheme="minorHAnsi" w:eastAsia="MS Gothic" w:hAnsiTheme="minorHAnsi" w:cstheme="minorHAnsi"/>
          <w:sz w:val="22"/>
          <w:szCs w:val="22"/>
          <w:lang w:val="en-GB"/>
        </w:rPr>
        <w:t xml:space="preserve">) </w:t>
      </w:r>
      <w:r w:rsidR="009E25EE">
        <w:rPr>
          <w:rFonts w:asciiTheme="minorHAnsi" w:eastAsia="MS Gothic" w:hAnsiTheme="minorHAnsi" w:cstheme="minorHAnsi"/>
          <w:sz w:val="22"/>
          <w:szCs w:val="22"/>
          <w:lang w:val="en-GB"/>
        </w:rPr>
        <w:t xml:space="preserve">Data represented as box plots with mean shown as ‘+’ and median </w:t>
      </w:r>
      <w:r w:rsidR="004626B6">
        <w:rPr>
          <w:rFonts w:asciiTheme="minorHAnsi" w:eastAsia="MS Gothic" w:hAnsiTheme="minorHAnsi" w:cstheme="minorHAnsi"/>
          <w:sz w:val="22"/>
          <w:szCs w:val="22"/>
          <w:lang w:val="en-GB"/>
        </w:rPr>
        <w:t>is drawn as a line across the box</w:t>
      </w:r>
      <w:r w:rsidR="00373707">
        <w:rPr>
          <w:rFonts w:asciiTheme="minorHAnsi" w:eastAsia="MS Gothic" w:hAnsiTheme="minorHAnsi" w:cstheme="minorHAnsi"/>
          <w:sz w:val="22"/>
          <w:szCs w:val="22"/>
          <w:lang w:val="en-GB"/>
        </w:rPr>
        <w:t xml:space="preserve">. Lower and upper bars represent the </w:t>
      </w:r>
      <w:r w:rsidR="00CA0EAF">
        <w:rPr>
          <w:rFonts w:asciiTheme="minorHAnsi" w:eastAsia="MS Gothic" w:hAnsiTheme="minorHAnsi" w:cstheme="minorHAnsi"/>
          <w:sz w:val="22"/>
          <w:szCs w:val="22"/>
          <w:lang w:val="en-GB"/>
        </w:rPr>
        <w:t>5- and 95-percentile of all data points, respectively</w:t>
      </w:r>
      <w:r w:rsidR="00784153">
        <w:rPr>
          <w:rFonts w:asciiTheme="minorHAnsi" w:eastAsia="MS Gothic" w:hAnsiTheme="minorHAnsi" w:cstheme="minorHAnsi"/>
          <w:sz w:val="22"/>
          <w:szCs w:val="22"/>
          <w:lang w:val="en-GB"/>
        </w:rPr>
        <w:t>. (c) Scale bars = 10 µm.</w:t>
      </w:r>
    </w:p>
    <w:p w14:paraId="64F0150D" w14:textId="77777777" w:rsidR="00C03E6A" w:rsidRDefault="00C03E6A" w:rsidP="006574CF">
      <w:pPr>
        <w:ind w:right="282"/>
        <w:jc w:val="both"/>
        <w:rPr>
          <w:rFonts w:ascii="Calibri" w:hAnsi="Calibri" w:cs="Calibri"/>
          <w:b/>
          <w:lang w:val="en-AU"/>
        </w:rPr>
      </w:pPr>
    </w:p>
    <w:p w14:paraId="193725D9" w14:textId="58E1AE7F" w:rsidR="005F19FF" w:rsidRPr="005F19FF" w:rsidRDefault="005F19FF" w:rsidP="006574CF">
      <w:pPr>
        <w:ind w:right="282"/>
        <w:jc w:val="both"/>
        <w:rPr>
          <w:rFonts w:ascii="Calibri" w:hAnsi="Calibri" w:cs="Calibri"/>
          <w:b/>
          <w:lang w:val="en-AU"/>
        </w:rPr>
      </w:pPr>
      <w:r w:rsidRPr="005F19FF">
        <w:rPr>
          <w:rFonts w:ascii="Calibri" w:hAnsi="Calibri" w:cs="Calibri"/>
          <w:b/>
          <w:lang w:val="en-AU"/>
        </w:rPr>
        <w:t>References</w:t>
      </w:r>
    </w:p>
    <w:p w14:paraId="0E25C431" w14:textId="2939E903" w:rsidR="006574CF" w:rsidRPr="00F50062" w:rsidRDefault="006574CF" w:rsidP="00F50062">
      <w:pPr>
        <w:pStyle w:val="ListParagraph"/>
        <w:numPr>
          <w:ilvl w:val="0"/>
          <w:numId w:val="2"/>
        </w:numPr>
        <w:ind w:left="360" w:right="282"/>
        <w:jc w:val="both"/>
        <w:rPr>
          <w:rFonts w:asciiTheme="minorHAnsi" w:hAnsiTheme="minorHAnsi" w:cstheme="minorHAnsi"/>
          <w:sz w:val="22"/>
          <w:szCs w:val="22"/>
        </w:rPr>
      </w:pPr>
      <w:r w:rsidRPr="006574CF">
        <w:rPr>
          <w:rFonts w:asciiTheme="minorHAnsi" w:hAnsiTheme="minorHAnsi" w:cstheme="minorHAnsi"/>
          <w:sz w:val="22"/>
          <w:szCs w:val="22"/>
        </w:rPr>
        <w:t>Chen</w:t>
      </w:r>
      <w:r w:rsidR="00471CF2">
        <w:rPr>
          <w:rFonts w:asciiTheme="minorHAnsi" w:hAnsiTheme="minorHAnsi" w:cstheme="minorHAnsi"/>
          <w:sz w:val="22"/>
          <w:szCs w:val="22"/>
        </w:rPr>
        <w:t>, L.</w:t>
      </w:r>
      <w:r w:rsidRPr="006574CF">
        <w:rPr>
          <w:rFonts w:asciiTheme="minorHAnsi" w:hAnsiTheme="minorHAnsi" w:cstheme="minorHAnsi"/>
          <w:sz w:val="22"/>
          <w:szCs w:val="22"/>
        </w:rPr>
        <w:t>, Huang,</w:t>
      </w:r>
      <w:r w:rsidR="00471CF2">
        <w:rPr>
          <w:rFonts w:asciiTheme="minorHAnsi" w:hAnsiTheme="minorHAnsi" w:cstheme="minorHAnsi"/>
          <w:sz w:val="22"/>
          <w:szCs w:val="22"/>
        </w:rPr>
        <w:t xml:space="preserve"> T.,</w:t>
      </w:r>
      <w:r w:rsidRPr="006574CF">
        <w:rPr>
          <w:rFonts w:asciiTheme="minorHAnsi" w:hAnsiTheme="minorHAnsi" w:cstheme="minorHAnsi"/>
          <w:sz w:val="22"/>
          <w:szCs w:val="22"/>
        </w:rPr>
        <w:t xml:space="preserve"> </w:t>
      </w:r>
      <w:proofErr w:type="spellStart"/>
      <w:r w:rsidRPr="006574CF">
        <w:rPr>
          <w:rFonts w:asciiTheme="minorHAnsi" w:hAnsiTheme="minorHAnsi" w:cstheme="minorHAnsi"/>
          <w:sz w:val="22"/>
          <w:szCs w:val="22"/>
        </w:rPr>
        <w:t>Qiao</w:t>
      </w:r>
      <w:proofErr w:type="spellEnd"/>
      <w:r w:rsidR="00471CF2">
        <w:rPr>
          <w:rFonts w:asciiTheme="minorHAnsi" w:hAnsiTheme="minorHAnsi" w:cstheme="minorHAnsi"/>
          <w:sz w:val="22"/>
          <w:szCs w:val="22"/>
        </w:rPr>
        <w:t>, Y.</w:t>
      </w:r>
      <w:r w:rsidRPr="006574CF">
        <w:rPr>
          <w:rFonts w:asciiTheme="minorHAnsi" w:hAnsiTheme="minorHAnsi" w:cstheme="minorHAnsi"/>
          <w:sz w:val="22"/>
          <w:szCs w:val="22"/>
        </w:rPr>
        <w:t>, Jiang</w:t>
      </w:r>
      <w:r w:rsidR="00471CF2">
        <w:rPr>
          <w:rFonts w:asciiTheme="minorHAnsi" w:hAnsiTheme="minorHAnsi" w:cstheme="minorHAnsi"/>
          <w:sz w:val="22"/>
          <w:szCs w:val="22"/>
        </w:rPr>
        <w:t>, F.</w:t>
      </w:r>
      <w:r w:rsidRPr="006574CF">
        <w:rPr>
          <w:rFonts w:asciiTheme="minorHAnsi" w:hAnsiTheme="minorHAnsi" w:cstheme="minorHAnsi"/>
          <w:sz w:val="22"/>
          <w:szCs w:val="22"/>
        </w:rPr>
        <w:t>, Lan</w:t>
      </w:r>
      <w:r w:rsidR="00471CF2">
        <w:rPr>
          <w:rFonts w:asciiTheme="minorHAnsi" w:hAnsiTheme="minorHAnsi" w:cstheme="minorHAnsi"/>
          <w:sz w:val="22"/>
          <w:szCs w:val="22"/>
        </w:rPr>
        <w:t>, J.</w:t>
      </w:r>
      <w:r w:rsidRPr="006574CF">
        <w:rPr>
          <w:rFonts w:asciiTheme="minorHAnsi" w:hAnsiTheme="minorHAnsi" w:cstheme="minorHAnsi"/>
          <w:sz w:val="22"/>
          <w:szCs w:val="22"/>
        </w:rPr>
        <w:t>, Zhou</w:t>
      </w:r>
      <w:r w:rsidR="00D4645C">
        <w:rPr>
          <w:rFonts w:asciiTheme="minorHAnsi" w:hAnsiTheme="minorHAnsi" w:cstheme="minorHAnsi"/>
          <w:sz w:val="22"/>
          <w:szCs w:val="22"/>
        </w:rPr>
        <w:t xml:space="preserve">, </w:t>
      </w:r>
      <w:r w:rsidR="00D4645C" w:rsidRPr="006574CF">
        <w:rPr>
          <w:rFonts w:asciiTheme="minorHAnsi" w:hAnsiTheme="minorHAnsi" w:cstheme="minorHAnsi"/>
          <w:sz w:val="22"/>
          <w:szCs w:val="22"/>
        </w:rPr>
        <w:t>Y.</w:t>
      </w:r>
      <w:r w:rsidRPr="006574CF">
        <w:rPr>
          <w:rFonts w:asciiTheme="minorHAnsi" w:hAnsiTheme="minorHAnsi" w:cstheme="minorHAnsi"/>
          <w:sz w:val="22"/>
          <w:szCs w:val="22"/>
        </w:rPr>
        <w:t>, Yang</w:t>
      </w:r>
      <w:r w:rsidR="00D4645C">
        <w:rPr>
          <w:rFonts w:asciiTheme="minorHAnsi" w:hAnsiTheme="minorHAnsi" w:cstheme="minorHAnsi"/>
          <w:sz w:val="22"/>
          <w:szCs w:val="22"/>
        </w:rPr>
        <w:t xml:space="preserve">, </w:t>
      </w:r>
      <w:r w:rsidR="00D4645C" w:rsidRPr="006574CF">
        <w:rPr>
          <w:rFonts w:asciiTheme="minorHAnsi" w:hAnsiTheme="minorHAnsi" w:cstheme="minorHAnsi"/>
          <w:sz w:val="22"/>
          <w:szCs w:val="22"/>
        </w:rPr>
        <w:t>C.</w:t>
      </w:r>
      <w:r w:rsidRPr="006574CF">
        <w:rPr>
          <w:rFonts w:asciiTheme="minorHAnsi" w:hAnsiTheme="minorHAnsi" w:cstheme="minorHAnsi"/>
          <w:sz w:val="22"/>
          <w:szCs w:val="22"/>
        </w:rPr>
        <w:t>, Yan</w:t>
      </w:r>
      <w:r w:rsidR="00D4645C">
        <w:rPr>
          <w:rFonts w:asciiTheme="minorHAnsi" w:hAnsiTheme="minorHAnsi" w:cstheme="minorHAnsi"/>
          <w:sz w:val="22"/>
          <w:szCs w:val="22"/>
        </w:rPr>
        <w:t xml:space="preserve">, </w:t>
      </w:r>
      <w:r w:rsidR="00D4645C" w:rsidRPr="006574CF">
        <w:rPr>
          <w:rFonts w:asciiTheme="minorHAnsi" w:hAnsiTheme="minorHAnsi" w:cstheme="minorHAnsi"/>
          <w:sz w:val="22"/>
          <w:szCs w:val="22"/>
        </w:rPr>
        <w:t>S.</w:t>
      </w:r>
      <w:r w:rsidRPr="006574CF">
        <w:rPr>
          <w:rFonts w:asciiTheme="minorHAnsi" w:hAnsiTheme="minorHAnsi" w:cstheme="minorHAnsi"/>
          <w:sz w:val="22"/>
          <w:szCs w:val="22"/>
        </w:rPr>
        <w:t>, Luo</w:t>
      </w:r>
      <w:r w:rsidR="00D4645C">
        <w:rPr>
          <w:rFonts w:asciiTheme="minorHAnsi" w:hAnsiTheme="minorHAnsi" w:cstheme="minorHAnsi"/>
          <w:sz w:val="22"/>
          <w:szCs w:val="22"/>
        </w:rPr>
        <w:t xml:space="preserve">, </w:t>
      </w:r>
      <w:r w:rsidR="00D4645C" w:rsidRPr="006574CF">
        <w:rPr>
          <w:rFonts w:asciiTheme="minorHAnsi" w:hAnsiTheme="minorHAnsi" w:cstheme="minorHAnsi"/>
          <w:sz w:val="22"/>
          <w:szCs w:val="22"/>
        </w:rPr>
        <w:t>K.</w:t>
      </w:r>
      <w:r w:rsidRPr="006574CF">
        <w:rPr>
          <w:rFonts w:asciiTheme="minorHAnsi" w:hAnsiTheme="minorHAnsi" w:cstheme="minorHAnsi"/>
          <w:sz w:val="22"/>
          <w:szCs w:val="22"/>
        </w:rPr>
        <w:t xml:space="preserve">, </w:t>
      </w:r>
      <w:proofErr w:type="spellStart"/>
      <w:r w:rsidRPr="006574CF">
        <w:rPr>
          <w:rFonts w:asciiTheme="minorHAnsi" w:hAnsiTheme="minorHAnsi" w:cstheme="minorHAnsi"/>
          <w:sz w:val="22"/>
          <w:szCs w:val="22"/>
        </w:rPr>
        <w:t>S</w:t>
      </w:r>
      <w:r w:rsidR="006A4C12">
        <w:rPr>
          <w:rFonts w:asciiTheme="minorHAnsi" w:hAnsiTheme="minorHAnsi" w:cstheme="minorHAnsi"/>
          <w:sz w:val="22"/>
          <w:szCs w:val="22"/>
        </w:rPr>
        <w:t>u</w:t>
      </w:r>
      <w:proofErr w:type="spellEnd"/>
      <w:r w:rsidRPr="006574CF">
        <w:rPr>
          <w:rFonts w:asciiTheme="minorHAnsi" w:hAnsiTheme="minorHAnsi" w:cstheme="minorHAnsi"/>
          <w:sz w:val="22"/>
          <w:szCs w:val="22"/>
        </w:rPr>
        <w:t>,</w:t>
      </w:r>
      <w:r w:rsidR="006A4C12">
        <w:rPr>
          <w:rFonts w:asciiTheme="minorHAnsi" w:hAnsiTheme="minorHAnsi" w:cstheme="minorHAnsi"/>
          <w:sz w:val="22"/>
          <w:szCs w:val="22"/>
        </w:rPr>
        <w:t xml:space="preserve"> </w:t>
      </w:r>
      <w:r w:rsidR="006A4C12" w:rsidRPr="006574CF">
        <w:rPr>
          <w:rFonts w:asciiTheme="minorHAnsi" w:hAnsiTheme="minorHAnsi" w:cstheme="minorHAnsi"/>
          <w:sz w:val="22"/>
          <w:szCs w:val="22"/>
        </w:rPr>
        <w:t>L.</w:t>
      </w:r>
      <w:r w:rsidR="003D1BDE">
        <w:rPr>
          <w:rFonts w:asciiTheme="minorHAnsi" w:hAnsiTheme="minorHAnsi" w:cstheme="minorHAnsi"/>
          <w:sz w:val="22"/>
          <w:szCs w:val="22"/>
        </w:rPr>
        <w:t xml:space="preserve"> &amp;</w:t>
      </w:r>
      <w:r w:rsidRPr="006574CF">
        <w:rPr>
          <w:rFonts w:asciiTheme="minorHAnsi" w:hAnsiTheme="minorHAnsi" w:cstheme="minorHAnsi"/>
          <w:sz w:val="22"/>
          <w:szCs w:val="22"/>
        </w:rPr>
        <w:t xml:space="preserve"> Li,</w:t>
      </w:r>
      <w:r w:rsidR="003D1BDE" w:rsidRPr="003D1BDE">
        <w:rPr>
          <w:rFonts w:asciiTheme="minorHAnsi" w:hAnsiTheme="minorHAnsi" w:cstheme="minorHAnsi"/>
          <w:sz w:val="22"/>
          <w:szCs w:val="22"/>
        </w:rPr>
        <w:t xml:space="preserve"> </w:t>
      </w:r>
      <w:r w:rsidR="003D1BDE" w:rsidRPr="006574CF">
        <w:rPr>
          <w:rFonts w:asciiTheme="minorHAnsi" w:hAnsiTheme="minorHAnsi" w:cstheme="minorHAnsi"/>
          <w:sz w:val="22"/>
          <w:szCs w:val="22"/>
        </w:rPr>
        <w:t>J.</w:t>
      </w:r>
      <w:r w:rsidR="003D1BDE">
        <w:rPr>
          <w:rFonts w:asciiTheme="minorHAnsi" w:hAnsiTheme="minorHAnsi" w:cstheme="minorHAnsi"/>
          <w:sz w:val="22"/>
          <w:szCs w:val="22"/>
        </w:rPr>
        <w:t xml:space="preserve"> (2019)</w:t>
      </w:r>
      <w:r w:rsidR="00C03E6A">
        <w:rPr>
          <w:rFonts w:asciiTheme="minorHAnsi" w:hAnsiTheme="minorHAnsi" w:cstheme="minorHAnsi"/>
          <w:sz w:val="22"/>
          <w:szCs w:val="22"/>
        </w:rPr>
        <w:t>.</w:t>
      </w:r>
      <w:r w:rsidR="00C05B55">
        <w:rPr>
          <w:rFonts w:asciiTheme="minorHAnsi" w:hAnsiTheme="minorHAnsi" w:cstheme="minorHAnsi"/>
          <w:sz w:val="22"/>
          <w:szCs w:val="22"/>
        </w:rPr>
        <w:t xml:space="preserve"> </w:t>
      </w:r>
      <w:r w:rsidR="00C05B55" w:rsidRPr="00C05B55">
        <w:rPr>
          <w:rFonts w:asciiTheme="minorHAnsi" w:hAnsiTheme="minorHAnsi" w:cstheme="minorHAnsi"/>
          <w:sz w:val="22"/>
          <w:szCs w:val="22"/>
        </w:rPr>
        <w:t>Perspective into the regulation of cell-generated forces toward stem cell migration and differentiation</w:t>
      </w:r>
      <w:r w:rsidR="00C05B55">
        <w:rPr>
          <w:rFonts w:asciiTheme="minorHAnsi" w:hAnsiTheme="minorHAnsi" w:cstheme="minorHAnsi"/>
          <w:sz w:val="22"/>
          <w:szCs w:val="22"/>
        </w:rPr>
        <w:t>.</w:t>
      </w:r>
      <w:r w:rsidR="003D1BDE" w:rsidRPr="006574CF">
        <w:rPr>
          <w:rFonts w:asciiTheme="minorHAnsi" w:hAnsiTheme="minorHAnsi" w:cstheme="minorHAnsi"/>
          <w:sz w:val="22"/>
          <w:szCs w:val="22"/>
        </w:rPr>
        <w:t xml:space="preserve"> </w:t>
      </w:r>
      <w:r w:rsidRPr="006574CF">
        <w:rPr>
          <w:rFonts w:asciiTheme="minorHAnsi" w:hAnsiTheme="minorHAnsi" w:cstheme="minorHAnsi"/>
          <w:sz w:val="22"/>
          <w:szCs w:val="22"/>
        </w:rPr>
        <w:t xml:space="preserve">J. Cell. </w:t>
      </w:r>
      <w:proofErr w:type="spellStart"/>
      <w:r w:rsidRPr="006574CF">
        <w:rPr>
          <w:rFonts w:asciiTheme="minorHAnsi" w:hAnsiTheme="minorHAnsi" w:cstheme="minorHAnsi"/>
          <w:sz w:val="22"/>
          <w:szCs w:val="22"/>
        </w:rPr>
        <w:t>Biochem</w:t>
      </w:r>
      <w:proofErr w:type="spellEnd"/>
      <w:r w:rsidRPr="006574CF">
        <w:rPr>
          <w:rFonts w:asciiTheme="minorHAnsi" w:hAnsiTheme="minorHAnsi" w:cstheme="minorHAnsi"/>
          <w:sz w:val="22"/>
          <w:szCs w:val="22"/>
        </w:rPr>
        <w:t>. 120, 8884</w:t>
      </w:r>
      <w:r w:rsidR="001B28F0">
        <w:rPr>
          <w:rFonts w:asciiTheme="minorHAnsi" w:hAnsiTheme="minorHAnsi" w:cstheme="minorHAnsi"/>
          <w:sz w:val="22"/>
          <w:szCs w:val="22"/>
        </w:rPr>
        <w:t>-8890.</w:t>
      </w:r>
    </w:p>
    <w:p w14:paraId="19A0A76F" w14:textId="16357927" w:rsidR="00F97620" w:rsidRPr="006574CF" w:rsidRDefault="006574CF" w:rsidP="006574CF">
      <w:pPr>
        <w:pStyle w:val="ListParagraph"/>
        <w:numPr>
          <w:ilvl w:val="0"/>
          <w:numId w:val="2"/>
        </w:numPr>
        <w:ind w:left="360" w:right="282"/>
        <w:jc w:val="both"/>
        <w:rPr>
          <w:rFonts w:ascii="Calibri" w:hAnsi="Calibri" w:cs="Calibri"/>
          <w:sz w:val="22"/>
          <w:szCs w:val="22"/>
          <w:lang w:val="en-AU"/>
        </w:rPr>
      </w:pPr>
      <w:r w:rsidRPr="006574CF">
        <w:rPr>
          <w:rFonts w:asciiTheme="minorHAnsi" w:hAnsiTheme="minorHAnsi" w:cstheme="minorHAnsi"/>
          <w:sz w:val="22"/>
          <w:szCs w:val="22"/>
        </w:rPr>
        <w:t>Tsou,</w:t>
      </w:r>
      <w:r w:rsidR="00F50062">
        <w:rPr>
          <w:rFonts w:asciiTheme="minorHAnsi" w:hAnsiTheme="minorHAnsi" w:cstheme="minorHAnsi"/>
          <w:sz w:val="22"/>
          <w:szCs w:val="22"/>
        </w:rPr>
        <w:t xml:space="preserve"> </w:t>
      </w:r>
      <w:r w:rsidR="00F50062" w:rsidRPr="006574CF">
        <w:rPr>
          <w:rFonts w:asciiTheme="minorHAnsi" w:hAnsiTheme="minorHAnsi" w:cstheme="minorHAnsi"/>
          <w:sz w:val="22"/>
          <w:szCs w:val="22"/>
        </w:rPr>
        <w:t>Y-H.</w:t>
      </w:r>
      <w:r w:rsidR="00F50062">
        <w:rPr>
          <w:rFonts w:asciiTheme="minorHAnsi" w:hAnsiTheme="minorHAnsi" w:cstheme="minorHAnsi"/>
          <w:sz w:val="22"/>
          <w:szCs w:val="22"/>
        </w:rPr>
        <w:t>,</w:t>
      </w:r>
      <w:r w:rsidRPr="006574CF">
        <w:rPr>
          <w:rFonts w:asciiTheme="minorHAnsi" w:hAnsiTheme="minorHAnsi" w:cstheme="minorHAnsi"/>
          <w:sz w:val="22"/>
          <w:szCs w:val="22"/>
        </w:rPr>
        <w:t xml:space="preserve"> </w:t>
      </w:r>
      <w:proofErr w:type="spellStart"/>
      <w:r w:rsidRPr="006574CF">
        <w:rPr>
          <w:rFonts w:asciiTheme="minorHAnsi" w:hAnsiTheme="minorHAnsi" w:cstheme="minorHAnsi"/>
          <w:sz w:val="22"/>
          <w:szCs w:val="22"/>
        </w:rPr>
        <w:t>Khoneisser</w:t>
      </w:r>
      <w:proofErr w:type="spellEnd"/>
      <w:r w:rsidRPr="006574CF">
        <w:rPr>
          <w:rFonts w:asciiTheme="minorHAnsi" w:hAnsiTheme="minorHAnsi" w:cstheme="minorHAnsi"/>
          <w:sz w:val="22"/>
          <w:szCs w:val="22"/>
        </w:rPr>
        <w:t>,</w:t>
      </w:r>
      <w:r w:rsidR="00F50062">
        <w:rPr>
          <w:rFonts w:asciiTheme="minorHAnsi" w:hAnsiTheme="minorHAnsi" w:cstheme="minorHAnsi"/>
          <w:sz w:val="22"/>
          <w:szCs w:val="22"/>
        </w:rPr>
        <w:t xml:space="preserve"> </w:t>
      </w:r>
      <w:r w:rsidR="00F50062" w:rsidRPr="006574CF">
        <w:rPr>
          <w:rFonts w:asciiTheme="minorHAnsi" w:hAnsiTheme="minorHAnsi" w:cstheme="minorHAnsi"/>
          <w:sz w:val="22"/>
          <w:szCs w:val="22"/>
        </w:rPr>
        <w:t>J.</w:t>
      </w:r>
      <w:r w:rsidR="00F50062">
        <w:rPr>
          <w:rFonts w:asciiTheme="minorHAnsi" w:hAnsiTheme="minorHAnsi" w:cstheme="minorHAnsi"/>
          <w:sz w:val="22"/>
          <w:szCs w:val="22"/>
        </w:rPr>
        <w:t xml:space="preserve">, </w:t>
      </w:r>
      <w:r w:rsidRPr="006574CF">
        <w:rPr>
          <w:rFonts w:asciiTheme="minorHAnsi" w:hAnsiTheme="minorHAnsi" w:cstheme="minorHAnsi"/>
          <w:sz w:val="22"/>
          <w:szCs w:val="22"/>
        </w:rPr>
        <w:t>Huang,</w:t>
      </w:r>
      <w:r w:rsidR="00F50062">
        <w:rPr>
          <w:rFonts w:asciiTheme="minorHAnsi" w:hAnsiTheme="minorHAnsi" w:cstheme="minorHAnsi"/>
          <w:sz w:val="22"/>
          <w:szCs w:val="22"/>
        </w:rPr>
        <w:t xml:space="preserve"> </w:t>
      </w:r>
      <w:r w:rsidR="00F50062" w:rsidRPr="006574CF">
        <w:rPr>
          <w:rFonts w:asciiTheme="minorHAnsi" w:hAnsiTheme="minorHAnsi" w:cstheme="minorHAnsi"/>
          <w:sz w:val="22"/>
          <w:szCs w:val="22"/>
        </w:rPr>
        <w:t>P-C</w:t>
      </w:r>
      <w:r w:rsidR="00941154">
        <w:rPr>
          <w:rFonts w:asciiTheme="minorHAnsi" w:hAnsiTheme="minorHAnsi" w:cstheme="minorHAnsi"/>
          <w:sz w:val="22"/>
          <w:szCs w:val="22"/>
        </w:rPr>
        <w:t>. &amp;</w:t>
      </w:r>
      <w:r w:rsidRPr="006574CF">
        <w:rPr>
          <w:rFonts w:asciiTheme="minorHAnsi" w:hAnsiTheme="minorHAnsi" w:cstheme="minorHAnsi"/>
          <w:sz w:val="22"/>
          <w:szCs w:val="22"/>
        </w:rPr>
        <w:t xml:space="preserve"> Xu,</w:t>
      </w:r>
      <w:r w:rsidR="00941154">
        <w:rPr>
          <w:rFonts w:asciiTheme="minorHAnsi" w:hAnsiTheme="minorHAnsi" w:cstheme="minorHAnsi"/>
          <w:sz w:val="22"/>
          <w:szCs w:val="22"/>
        </w:rPr>
        <w:t xml:space="preserve"> </w:t>
      </w:r>
      <w:r w:rsidR="00941154" w:rsidRPr="006574CF">
        <w:rPr>
          <w:rFonts w:asciiTheme="minorHAnsi" w:hAnsiTheme="minorHAnsi" w:cstheme="minorHAnsi"/>
          <w:sz w:val="22"/>
          <w:szCs w:val="22"/>
        </w:rPr>
        <w:t xml:space="preserve">X. </w:t>
      </w:r>
      <w:r w:rsidR="00941154">
        <w:rPr>
          <w:rFonts w:asciiTheme="minorHAnsi" w:hAnsiTheme="minorHAnsi" w:cstheme="minorHAnsi"/>
          <w:sz w:val="22"/>
          <w:szCs w:val="22"/>
        </w:rPr>
        <w:t>(2016)</w:t>
      </w:r>
      <w:r w:rsidR="00C03E6A">
        <w:rPr>
          <w:rFonts w:asciiTheme="minorHAnsi" w:hAnsiTheme="minorHAnsi" w:cstheme="minorHAnsi"/>
          <w:sz w:val="22"/>
          <w:szCs w:val="22"/>
        </w:rPr>
        <w:t xml:space="preserve">. </w:t>
      </w:r>
      <w:r w:rsidR="00C03E6A" w:rsidRPr="00C03E6A">
        <w:rPr>
          <w:rFonts w:asciiTheme="minorHAnsi" w:hAnsiTheme="minorHAnsi" w:cstheme="minorHAnsi"/>
          <w:sz w:val="22"/>
          <w:szCs w:val="22"/>
        </w:rPr>
        <w:t>Hydrogel as a bioactive material to regulate stem cell fate</w:t>
      </w:r>
      <w:r w:rsidR="00C03E6A">
        <w:rPr>
          <w:rFonts w:asciiTheme="minorHAnsi" w:hAnsiTheme="minorHAnsi" w:cstheme="minorHAnsi"/>
          <w:sz w:val="22"/>
          <w:szCs w:val="22"/>
        </w:rPr>
        <w:t>.</w:t>
      </w:r>
      <w:r w:rsidRPr="006574CF">
        <w:rPr>
          <w:rFonts w:asciiTheme="minorHAnsi" w:hAnsiTheme="minorHAnsi" w:cstheme="minorHAnsi"/>
          <w:sz w:val="22"/>
          <w:szCs w:val="22"/>
        </w:rPr>
        <w:t xml:space="preserve"> </w:t>
      </w:r>
      <w:proofErr w:type="spellStart"/>
      <w:r w:rsidRPr="006574CF">
        <w:rPr>
          <w:rFonts w:asciiTheme="minorHAnsi" w:hAnsiTheme="minorHAnsi" w:cstheme="minorHAnsi"/>
          <w:sz w:val="22"/>
          <w:szCs w:val="22"/>
        </w:rPr>
        <w:t>Bioact</w:t>
      </w:r>
      <w:proofErr w:type="spellEnd"/>
      <w:r w:rsidRPr="006574CF">
        <w:rPr>
          <w:rFonts w:asciiTheme="minorHAnsi" w:hAnsiTheme="minorHAnsi" w:cstheme="minorHAnsi"/>
          <w:sz w:val="22"/>
          <w:szCs w:val="22"/>
        </w:rPr>
        <w:t xml:space="preserve">. Mater. 1, 39-55   </w:t>
      </w:r>
    </w:p>
    <w:sectPr w:rsidR="00F97620" w:rsidRPr="006574CF"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1754"/>
    <w:multiLevelType w:val="hybridMultilevel"/>
    <w:tmpl w:val="6F546B6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0E175E"/>
    <w:rsid w:val="000E6A7A"/>
    <w:rsid w:val="00103D52"/>
    <w:rsid w:val="001A21AD"/>
    <w:rsid w:val="001B28F0"/>
    <w:rsid w:val="002078AD"/>
    <w:rsid w:val="002226BB"/>
    <w:rsid w:val="00225236"/>
    <w:rsid w:val="002272B0"/>
    <w:rsid w:val="002E0105"/>
    <w:rsid w:val="00300B92"/>
    <w:rsid w:val="0030585E"/>
    <w:rsid w:val="00373707"/>
    <w:rsid w:val="00387491"/>
    <w:rsid w:val="003D1BDE"/>
    <w:rsid w:val="00447188"/>
    <w:rsid w:val="004626B6"/>
    <w:rsid w:val="00471CF2"/>
    <w:rsid w:val="00483B05"/>
    <w:rsid w:val="004E28B9"/>
    <w:rsid w:val="004E5450"/>
    <w:rsid w:val="005226A8"/>
    <w:rsid w:val="0055229D"/>
    <w:rsid w:val="00562D19"/>
    <w:rsid w:val="0059609A"/>
    <w:rsid w:val="00597659"/>
    <w:rsid w:val="005E48A2"/>
    <w:rsid w:val="005F19FF"/>
    <w:rsid w:val="00641190"/>
    <w:rsid w:val="006448F3"/>
    <w:rsid w:val="006574CF"/>
    <w:rsid w:val="006A4C12"/>
    <w:rsid w:val="006B3866"/>
    <w:rsid w:val="00711813"/>
    <w:rsid w:val="00724E3C"/>
    <w:rsid w:val="00743C46"/>
    <w:rsid w:val="00784153"/>
    <w:rsid w:val="008909C9"/>
    <w:rsid w:val="008A6DE3"/>
    <w:rsid w:val="00941154"/>
    <w:rsid w:val="00947B77"/>
    <w:rsid w:val="00997C34"/>
    <w:rsid w:val="009A4CFF"/>
    <w:rsid w:val="009B2641"/>
    <w:rsid w:val="009E2228"/>
    <w:rsid w:val="009E25EE"/>
    <w:rsid w:val="009F06D6"/>
    <w:rsid w:val="00A266B4"/>
    <w:rsid w:val="00A852C7"/>
    <w:rsid w:val="00AB454B"/>
    <w:rsid w:val="00BC5FCC"/>
    <w:rsid w:val="00C03E6A"/>
    <w:rsid w:val="00C05B55"/>
    <w:rsid w:val="00C350CD"/>
    <w:rsid w:val="00C60A71"/>
    <w:rsid w:val="00CA0EAF"/>
    <w:rsid w:val="00CC165A"/>
    <w:rsid w:val="00CF0A83"/>
    <w:rsid w:val="00D4645C"/>
    <w:rsid w:val="00D55F3B"/>
    <w:rsid w:val="00DA2731"/>
    <w:rsid w:val="00DA33C6"/>
    <w:rsid w:val="00DB4497"/>
    <w:rsid w:val="00DC0ABB"/>
    <w:rsid w:val="00DF1C8E"/>
    <w:rsid w:val="00EF12F3"/>
    <w:rsid w:val="00EF3D3F"/>
    <w:rsid w:val="00F26BBE"/>
    <w:rsid w:val="00F50062"/>
    <w:rsid w:val="00F97620"/>
    <w:rsid w:val="00FF0A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657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471</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3125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Diwei Ho</cp:lastModifiedBy>
  <cp:revision>23</cp:revision>
  <cp:lastPrinted>2013-06-13T05:15:00Z</cp:lastPrinted>
  <dcterms:created xsi:type="dcterms:W3CDTF">2019-09-02T06:09:00Z</dcterms:created>
  <dcterms:modified xsi:type="dcterms:W3CDTF">2019-09-02T06:34:00Z</dcterms:modified>
</cp:coreProperties>
</file>