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Combination of chemotherapy and target-therapy in mucoepidermoid cancer: an </w:t>
      </w:r>
      <w:r w:rsidDel="00000000" w:rsidR="00000000" w:rsidRPr="00000000">
        <w:rPr>
          <w:rFonts w:ascii="Calibri" w:cs="Calibri" w:eastAsia="Calibri" w:hAnsi="Calibri"/>
          <w:b w:val="1"/>
          <w:i w:val="1"/>
          <w:color w:val="000000"/>
          <w:sz w:val="20"/>
          <w:szCs w:val="20"/>
          <w:rtl w:val="0"/>
        </w:rPr>
        <w:t xml:space="preserve">in vitro </w:t>
      </w:r>
      <w:r w:rsidDel="00000000" w:rsidR="00000000" w:rsidRPr="00000000">
        <w:rPr>
          <w:rFonts w:ascii="Calibri" w:cs="Calibri" w:eastAsia="Calibri" w:hAnsi="Calibri"/>
          <w:b w:val="1"/>
          <w:color w:val="000000"/>
          <w:sz w:val="20"/>
          <w:szCs w:val="20"/>
          <w:rtl w:val="0"/>
        </w:rPr>
        <w:t xml:space="preserve">study</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Andrea Abate</w:t>
      </w:r>
      <w:r w:rsidDel="00000000" w:rsidR="00000000" w:rsidRPr="00000000">
        <w:rPr>
          <w:rFonts w:ascii="Calibri" w:cs="Calibri" w:eastAsia="Calibri" w:hAnsi="Calibri"/>
          <w:color w:val="000000"/>
          <w:sz w:val="20"/>
          <w:szCs w:val="20"/>
          <w:vertAlign w:val="superscript"/>
          <w:rtl w:val="0"/>
        </w:rPr>
        <w:t xml:space="preserve">1</w:t>
      </w:r>
      <w:r w:rsidDel="00000000" w:rsidR="00000000" w:rsidRPr="00000000">
        <w:rPr>
          <w:rFonts w:ascii="Calibri" w:cs="Calibri" w:eastAsia="Calibri" w:hAnsi="Calibri"/>
          <w:color w:val="000000"/>
          <w:sz w:val="20"/>
          <w:szCs w:val="20"/>
          <w:rtl w:val="0"/>
        </w:rPr>
        <w:t xml:space="preserve">, Claudia Bonera</w:t>
      </w:r>
      <w:r w:rsidDel="00000000" w:rsidR="00000000" w:rsidRPr="00000000">
        <w:rPr>
          <w:rFonts w:ascii="Calibri" w:cs="Calibri" w:eastAsia="Calibri" w:hAnsi="Calibri"/>
          <w:color w:val="000000"/>
          <w:sz w:val="20"/>
          <w:szCs w:val="20"/>
          <w:vertAlign w:val="superscript"/>
          <w:rtl w:val="0"/>
        </w:rPr>
        <w:t xml:space="preserve">1</w:t>
      </w:r>
      <w:r w:rsidDel="00000000" w:rsidR="00000000" w:rsidRPr="00000000">
        <w:rPr>
          <w:rFonts w:ascii="Calibri" w:cs="Calibri" w:eastAsia="Calibri" w:hAnsi="Calibri"/>
          <w:color w:val="000000"/>
          <w:sz w:val="20"/>
          <w:szCs w:val="20"/>
          <w:rtl w:val="0"/>
        </w:rPr>
        <w:t xml:space="preserve">, Luisa Marinoni</w:t>
      </w:r>
      <w:r w:rsidDel="00000000" w:rsidR="00000000" w:rsidRPr="00000000">
        <w:rPr>
          <w:rFonts w:ascii="Calibri" w:cs="Calibri" w:eastAsia="Calibri" w:hAnsi="Calibri"/>
          <w:color w:val="000000"/>
          <w:sz w:val="20"/>
          <w:szCs w:val="20"/>
          <w:vertAlign w:val="superscript"/>
          <w:rtl w:val="0"/>
        </w:rPr>
        <w:t xml:space="preserve">1</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sz w:val="20"/>
          <w:szCs w:val="20"/>
          <w:rtl w:val="0"/>
        </w:rPr>
        <w:t xml:space="preserve">Mariangela Tamburello</w:t>
      </w:r>
      <w:r w:rsidDel="00000000" w:rsidR="00000000" w:rsidRPr="00000000">
        <w:rPr>
          <w:rFonts w:ascii="Calibri" w:cs="Calibri" w:eastAsia="Calibri" w:hAnsi="Calibri"/>
          <w:sz w:val="20"/>
          <w:szCs w:val="20"/>
          <w:vertAlign w:val="superscript"/>
          <w:rtl w:val="0"/>
        </w:rPr>
        <w:t xml:space="preserve">1</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rtl w:val="0"/>
        </w:rPr>
        <w:t xml:space="preserve">Sara A Bonini</w:t>
      </w:r>
      <w:r w:rsidDel="00000000" w:rsidR="00000000" w:rsidRPr="00000000">
        <w:rPr>
          <w:rFonts w:ascii="Calibri" w:cs="Calibri" w:eastAsia="Calibri" w:hAnsi="Calibri"/>
          <w:color w:val="000000"/>
          <w:sz w:val="20"/>
          <w:szCs w:val="20"/>
          <w:vertAlign w:val="superscript"/>
          <w:rtl w:val="0"/>
        </w:rPr>
        <w:t xml:space="preserve">1</w:t>
      </w:r>
      <w:r w:rsidDel="00000000" w:rsidR="00000000" w:rsidRPr="00000000">
        <w:rPr>
          <w:rFonts w:ascii="Calibri" w:cs="Calibri" w:eastAsia="Calibri" w:hAnsi="Calibri"/>
          <w:color w:val="000000"/>
          <w:sz w:val="20"/>
          <w:szCs w:val="20"/>
          <w:rtl w:val="0"/>
        </w:rPr>
        <w:t xml:space="preserve"> and Sandra Sigala</w:t>
      </w:r>
      <w:r w:rsidDel="00000000" w:rsidR="00000000" w:rsidRPr="00000000">
        <w:rPr>
          <w:rFonts w:ascii="Calibri" w:cs="Calibri" w:eastAsia="Calibri" w:hAnsi="Calibri"/>
          <w:color w:val="000000"/>
          <w:sz w:val="20"/>
          <w:szCs w:val="20"/>
          <w:vertAlign w:val="superscript"/>
          <w:rtl w:val="0"/>
        </w:rPr>
        <w:t xml:space="preserve">1 </w:t>
      </w:r>
      <w:r w:rsidDel="00000000" w:rsidR="00000000" w:rsidRPr="00000000">
        <w:rPr>
          <w:rFonts w:ascii="Calibri" w:cs="Calibri" w:eastAsia="Calibri" w:hAnsi="Calibri"/>
          <w:color w:val="000000"/>
          <w:sz w:val="20"/>
          <w:szCs w:val="20"/>
          <w:rtl w:val="0"/>
        </w:rPr>
        <w:t xml:space="preserve">Pharmacology Div, Univ of Brescia</w:t>
      </w:r>
      <w:r w:rsidDel="00000000" w:rsidR="00000000" w:rsidRPr="00000000">
        <w:rPr>
          <w:rFonts w:ascii="Calibri" w:cs="Calibri" w:eastAsia="Calibri" w:hAnsi="Calibri"/>
          <w:color w:val="000000"/>
          <w:sz w:val="20"/>
          <w:szCs w:val="20"/>
          <w:vertAlign w:val="superscript"/>
          <w:rtl w:val="0"/>
        </w:rPr>
        <w:t xml:space="preserve">1</w:t>
      </w:r>
      <w:r w:rsidDel="00000000" w:rsidR="00000000" w:rsidRPr="00000000">
        <w:rPr>
          <w:rFonts w:ascii="Calibri" w:cs="Calibri" w:eastAsia="Calibri" w:hAnsi="Calibri"/>
          <w:color w:val="000000"/>
          <w:sz w:val="20"/>
          <w:szCs w:val="20"/>
          <w:rtl w:val="0"/>
        </w:rPr>
        <w:t xml:space="preserve">, Brescia, IT.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vertAlign w:val="superscript"/>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Introduction.</w:t>
      </w:r>
      <w:r w:rsidDel="00000000" w:rsidR="00000000" w:rsidRPr="00000000">
        <w:rPr>
          <w:rFonts w:ascii="Calibri" w:cs="Calibri" w:eastAsia="Calibri" w:hAnsi="Calibri"/>
          <w:color w:val="000000"/>
          <w:sz w:val="20"/>
          <w:szCs w:val="20"/>
          <w:rtl w:val="0"/>
        </w:rPr>
        <w:t xml:space="preserve"> Mucoepidermoid cancer (MEC), a high-grade salivary gland cancer is a rare tumor with poor prognosis. Surgical resection and postoperative photon radiotherapy are the current available strategy. Available pharmacological therapies are limited and play only a marginal role.</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Aims</w:t>
      </w:r>
      <w:r w:rsidDel="00000000" w:rsidR="00000000" w:rsidRPr="00000000">
        <w:rPr>
          <w:rFonts w:ascii="Calibri" w:cs="Calibri" w:eastAsia="Calibri" w:hAnsi="Calibri"/>
          <w:color w:val="000000"/>
          <w:sz w:val="20"/>
          <w:szCs w:val="20"/>
          <w:rtl w:val="0"/>
        </w:rPr>
        <w:t xml:space="preserve">. Here we evaluate the effect of chemotherapy and target therapy agents alone and combined in MEC preclinical cell models</w:t>
      </w:r>
    </w:p>
    <w:p w:rsidR="00000000" w:rsidDel="00000000" w:rsidP="00000000" w:rsidRDefault="00000000" w:rsidRPr="00000000" w14:paraId="00000006">
      <w:pPr>
        <w:ind w:left="0" w:hanging="2"/>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Methods</w:t>
      </w:r>
      <w:r w:rsidDel="00000000" w:rsidR="00000000" w:rsidRPr="00000000">
        <w:rPr>
          <w:rFonts w:ascii="Calibri" w:cs="Calibri" w:eastAsia="Calibri" w:hAnsi="Calibri"/>
          <w:color w:val="000000"/>
          <w:sz w:val="20"/>
          <w:szCs w:val="20"/>
          <w:rtl w:val="0"/>
        </w:rPr>
        <w:t xml:space="preserve">. A-253, A-388 and A-431 cell lines were treated with chemotherapics (cisplatin, doxorubicin and paclitaxel) and target therapy drugs (everolimus, lapatinib, olaparib, palbociclib and vorinostat). Cell viability was assessed by WST-1 assay while cell proliferation by BrdU incorporation-assay. Drug combinations were evaluated using SynergyFinder+. Cell cycle analysis was applied to evaluate the effect of treatments on cell cycle progression</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Results.</w:t>
      </w:r>
      <w:r w:rsidDel="00000000" w:rsidR="00000000" w:rsidRPr="00000000">
        <w:rPr>
          <w:rFonts w:ascii="Calibri" w:cs="Calibri" w:eastAsia="Calibri" w:hAnsi="Calibri"/>
          <w:color w:val="000000"/>
          <w:sz w:val="20"/>
          <w:szCs w:val="20"/>
          <w:rtl w:val="0"/>
        </w:rPr>
        <w:t xml:space="preserve"> Chemotherapeutics reduced cell viability and proliferation across all lines, with cell-type–dependent sensitivity. Among targeted drugs, palbociclib showed antiproliferative activity effect in each cell model, whereas vorinostat also partly inhibited viability. Lapatinib caused antiproliferative and cytotoxic effects in A-253 and A-388 cells, but A-431 cells were weakly sensitive. Everolimus and olaparib showed poor efficacy on viability and proliferation in all models. To investigate chemotherapy–targeted therapy interactions, cisplatin–palbociclib (C+P) and cisplatin–lapatinib (C+L) combinations were tested for effects on cell proliferation in the three models. C+P showed synergistic activity in all models, whereas C+L were synergistic only in A-388 cells, especially at low drug concentrations.Cell-cycle analysis of palbociclib-treated cells revealed, consistent with its mechanism of action, an accumulation in G1 phase; however, this arrest was gradually overcome over time.</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Discussion.</w:t>
      </w:r>
      <w:r w:rsidDel="00000000" w:rsidR="00000000" w:rsidRPr="00000000">
        <w:rPr>
          <w:rFonts w:ascii="Calibri" w:cs="Calibri" w:eastAsia="Calibri" w:hAnsi="Calibri"/>
          <w:color w:val="000000"/>
          <w:sz w:val="20"/>
          <w:szCs w:val="20"/>
          <w:rtl w:val="0"/>
        </w:rPr>
        <w:t xml:space="preserve"> These preclinical findings indicate that combining chemotherapy with targeted therapy should be effective in MEC. Further studies are needed to elucidate the mechanisms underlying proliferation and cell death arrest and to validate these results in in vivo models.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color w:val="000000"/>
          <w:sz w:val="20"/>
          <w:szCs w:val="20"/>
        </w:rPr>
      </w:pPr>
      <w:r w:rsidDel="00000000" w:rsidR="00000000" w:rsidRPr="00000000">
        <w:rPr>
          <w:rtl w:val="0"/>
        </w:rPr>
      </w:r>
    </w:p>
    <w:sectPr>
      <w:pgSz w:h="8391" w:w="11906" w:orient="landscape"/>
      <w:pgMar w:bottom="851" w:top="851"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120" w:lineRule="auto"/>
      <w:jc w:val="center"/>
    </w:pPr>
    <w:rPr>
      <w:b w:val="1"/>
      <w:smallCaps w:val="1"/>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spacing w:after="60" w:before="240" w:lineRule="auto"/>
    </w:pPr>
    <w:rPr>
      <w:rFonts w:ascii="Calibri" w:cs="Calibri" w:eastAsia="Calibri" w:hAnsi="Calibri"/>
      <w:b w:val="1"/>
      <w:i w:val="1"/>
      <w:sz w:val="26"/>
      <w:szCs w:val="26"/>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Rientrocorpodeltesto3">
    <w:name w:val="Body Text Indent 3"/>
    <w:basedOn w:val="Normale"/>
    <w:pPr>
      <w:spacing w:after="120" w:before="120"/>
      <w:ind w:left="-90"/>
      <w:jc w:val="center"/>
    </w:pPr>
    <w:rPr>
      <w:rFonts w:ascii="Times" w:hAnsi="Times"/>
      <w:szCs w:val="20"/>
    </w:rPr>
  </w:style>
  <w:style w:type="character" w:styleId="Titolo5Carattere" w:customStyle="1">
    <w:name w:val="Titolo 5 Carattere"/>
    <w:rPr>
      <w:rFonts w:ascii="Calibri" w:cs="Times New Roman" w:eastAsia="PMingLiU" w:hAnsi="Calibri"/>
      <w:b w:val="1"/>
      <w:bCs w:val="1"/>
      <w:i w:val="1"/>
      <w:iCs w:val="1"/>
      <w:w w:val="100"/>
      <w:position w:val="-1"/>
      <w:sz w:val="26"/>
      <w:szCs w:val="26"/>
      <w:effect w:val="none"/>
      <w:vertAlign w:val="baseline"/>
      <w:cs w:val="0"/>
      <w:em w:val="none"/>
      <w:lang w:eastAsia="en-US"/>
    </w:rPr>
  </w:style>
  <w:style w:type="paragraph" w:styleId="Default" w:customStyle="1">
    <w:name w:val="Default"/>
    <w:pPr>
      <w:widowControl w:val="0"/>
      <w:suppressAutoHyphens w:val="1"/>
      <w:autoSpaceDE w:val="0"/>
      <w:autoSpaceDN w:val="0"/>
      <w:adjustRightInd w:val="0"/>
      <w:spacing w:line="1" w:lineRule="atLeast"/>
      <w:ind w:left="-1" w:leftChars="-1" w:hanging="1" w:hangingChars="1"/>
      <w:textDirection w:val="btLr"/>
      <w:textAlignment w:val="top"/>
      <w:outlineLvl w:val="0"/>
    </w:pPr>
    <w:rPr>
      <w:rFonts w:ascii="Calibri" w:cs="Calibri" w:eastAsia="Calibri" w:hAnsi="Calibri"/>
      <w:color w:val="000000"/>
      <w:position w:val="-1"/>
      <w:sz w:val="24"/>
      <w:szCs w:val="24"/>
      <w:lang w:eastAsia="en-US" w:val="en-US"/>
    </w:rPr>
  </w:style>
  <w:style w:type="paragraph" w:styleId="Testofumetto">
    <w:name w:val="Balloon Text"/>
    <w:basedOn w:val="Normale"/>
    <w:qFormat w:val="1"/>
    <w:rPr>
      <w:rFonts w:ascii="Tahoma" w:cs="Tahoma" w:hAnsi="Tahoma"/>
      <w:sz w:val="16"/>
      <w:szCs w:val="16"/>
    </w:rPr>
  </w:style>
  <w:style w:type="character" w:styleId="TestofumettoCarattere" w:customStyle="1">
    <w:name w:val="Testo fumetto Carattere"/>
    <w:rPr>
      <w:rFonts w:ascii="Tahoma" w:cs="Tahoma" w:hAnsi="Tahoma"/>
      <w:w w:val="100"/>
      <w:position w:val="-1"/>
      <w:sz w:val="16"/>
      <w:szCs w:val="16"/>
      <w:effect w:val="none"/>
      <w:vertAlign w:val="baseline"/>
      <w:cs w:val="0"/>
      <w:em w:val="none"/>
      <w:lang w:eastAsia="en-US" w:val="en-US"/>
    </w:rPr>
  </w:style>
  <w:style w:type="character" w:styleId="Enfasigrassetto">
    <w:name w:val="Strong"/>
    <w:rPr>
      <w:b w:val="1"/>
      <w:bCs w:val="1"/>
      <w:w w:val="100"/>
      <w:position w:val="-1"/>
      <w:effect w:val="none"/>
      <w:vertAlign w:val="baseline"/>
      <w:cs w:val="0"/>
      <w:em w:val="none"/>
    </w:rPr>
  </w:style>
  <w:style w:type="character" w:styleId="Collegamentoipertestuale">
    <w:name w:val="Hyperlink"/>
    <w:qFormat w:val="1"/>
    <w:rPr>
      <w:color w:val="0563c1"/>
      <w:w w:val="100"/>
      <w:position w:val="-1"/>
      <w:u w:val="single"/>
      <w:effect w:val="none"/>
      <w:vertAlign w:val="baseline"/>
      <w:cs w:val="0"/>
      <w:em w:val="none"/>
    </w:rPr>
  </w:style>
  <w:style w:type="character" w:styleId="Menzionenonrisolta">
    <w:name w:val="Unresolved Mention"/>
    <w:qFormat w:val="1"/>
    <w:rPr>
      <w:color w:val="605e5c"/>
      <w:w w:val="100"/>
      <w:position w:val="-1"/>
      <w:effect w:val="none"/>
      <w:shd w:color="auto" w:fill="e1dfdd" w:val="clear"/>
      <w:vertAlign w:val="baseline"/>
      <w:cs w:val="0"/>
      <w:em w:val="none"/>
    </w:rPr>
  </w:style>
  <w:style w:type="paragraph" w:styleId="NormaleWeb">
    <w:name w:val="Normal (Web)"/>
    <w:basedOn w:val="Normale"/>
    <w:qFormat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QSeOjlLXjIoku7uWFqKPDlN2rQ==">CgMxLjA4AHIhMXI2VlVMV29RMFBrVmpWblNleURQNVdQaDZfRlNhVnlI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2025-01-04T09:52:00Z</dcterms:created>
  <dc:creator>gillard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