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5BFC10CC" w:rsidR="00C315D2" w:rsidRPr="005F2205" w:rsidRDefault="00CD4B36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14:ligatures w14:val="none"/>
        </w:rPr>
      </w:pPr>
      <w:bookmarkStart w:id="0" w:name="OLE_LINK14"/>
      <w:r w:rsidRPr="00CD4B3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Green and Scalable Semi-Synthesis of Pharmaceutical-Grade Quercetin from </w:t>
      </w:r>
      <w:bookmarkStart w:id="1" w:name="OLE_LINK15"/>
      <w:r w:rsidR="005F2205" w:rsidRPr="005F2205">
        <w:rPr>
          <w:rFonts w:ascii="Arial" w:eastAsia="Calibri" w:hAnsi="Arial" w:cs="Calibri"/>
          <w:b/>
          <w:bCs/>
          <w:i/>
          <w:iCs/>
          <w:kern w:val="0"/>
          <w14:ligatures w14:val="none"/>
        </w:rPr>
        <w:t xml:space="preserve">Styphnolobium japonicum </w:t>
      </w:r>
      <w:r w:rsidR="005F2205" w:rsidRPr="005F2205">
        <w:rPr>
          <w:rFonts w:ascii="Arial" w:eastAsia="Calibri" w:hAnsi="Arial" w:cs="Calibri"/>
          <w:b/>
          <w:bCs/>
          <w:kern w:val="0"/>
          <w14:ligatures w14:val="none"/>
        </w:rPr>
        <w:t>(L.) Schott</w:t>
      </w:r>
    </w:p>
    <w:bookmarkEnd w:id="1"/>
    <w:p w14:paraId="79141BD9" w14:textId="43438373" w:rsidR="00C315D2" w:rsidRPr="00C315D2" w:rsidRDefault="00BB302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Anh Vu Nguyen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Ngan Ha Nguyen</w:t>
      </w:r>
      <w:r w:rsidR="00EA1FC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Phuong Lan Le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Ngoc Phuc An Le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Khanh Linh Trinh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Nam Phong Nguyen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6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Thi Hien Pham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="00EA1F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Van Hai Nguyen</w:t>
      </w:r>
      <w:r w:rsidR="00EA1FC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327F807C" w:rsidR="00C315D2" w:rsidRDefault="00BB3028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bookmarkStart w:id="2" w:name="OLE_LINK16"/>
      <w:r w:rsidRPr="00BB30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Basic Science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bookmarkEnd w:id="2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University of Pharmacy</w:t>
      </w:r>
      <w:bookmarkStart w:id="3" w:name="OLE_LINK5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bookmarkEnd w:id="3"/>
      <w:proofErr w:type="gramEnd"/>
    </w:p>
    <w:p w14:paraId="2737831F" w14:textId="051E6F41" w:rsidR="001A48FC" w:rsidRPr="00331642" w:rsidRDefault="0029099D" w:rsidP="001A48F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29099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Lycée Français Alexandre Yersin</w:t>
      </w:r>
      <w:r w:rsidR="001A48F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1A48FC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Vietnam;</w:t>
      </w:r>
      <w:proofErr w:type="gramEnd"/>
    </w:p>
    <w:p w14:paraId="17AE0159" w14:textId="2770C263" w:rsidR="001A48FC" w:rsidRPr="00331642" w:rsidRDefault="001A48FC" w:rsidP="001A48F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316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High School for Gifted Students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3316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National University of Education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Vietnam;</w:t>
      </w:r>
      <w:proofErr w:type="gramEnd"/>
    </w:p>
    <w:p w14:paraId="097678F2" w14:textId="038C65CF" w:rsidR="001A48FC" w:rsidRPr="00331642" w:rsidRDefault="001A48FC" w:rsidP="001A48F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34A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Nguyen Tat Thanh School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Pr="003316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National University of Education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Vietnam;</w:t>
      </w:r>
      <w:proofErr w:type="gramEnd"/>
    </w:p>
    <w:p w14:paraId="210A8594" w14:textId="06621D46" w:rsidR="001A48FC" w:rsidRPr="00331642" w:rsidRDefault="001A48FC" w:rsidP="001A48F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bookmarkStart w:id="4" w:name="OLE_LINK4"/>
      <w:r w:rsidRPr="003316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Vinschool </w:t>
      </w:r>
      <w:r w:rsidR="005E5C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Pr="003316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 Harmony</w:t>
      </w:r>
      <w:bookmarkEnd w:id="4"/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5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Vietnam;</w:t>
      </w:r>
      <w:proofErr w:type="gramEnd"/>
    </w:p>
    <w:p w14:paraId="2BB331F1" w14:textId="6BD9C7C6" w:rsidR="001A48FC" w:rsidRPr="00EA1FC5" w:rsidRDefault="00100A01" w:rsidP="001A48FC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Tran Phu High School</w:t>
      </w:r>
      <w:r w:rsidR="00C478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-</w:t>
      </w:r>
      <w:r w:rsidR="00C4788F" w:rsidRPr="00C478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478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Hoan Kiem</w:t>
      </w:r>
      <w:r w:rsidR="001A48F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6</w:t>
      </w:r>
      <w:r w:rsidR="001A48FC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Hanoi, </w:t>
      </w:r>
      <w:proofErr w:type="gramStart"/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Vietnam;</w:t>
      </w:r>
      <w:proofErr w:type="gramEnd"/>
    </w:p>
    <w:p w14:paraId="42184D47" w14:textId="39598279" w:rsidR="00286346" w:rsidRPr="00C315D2" w:rsidRDefault="00BB3028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bookmarkStart w:id="5" w:name="OLE_LINK17"/>
      <w:r w:rsidRPr="00BB30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Faculty of </w:t>
      </w:r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Pharmaceutical Chemistry and Technology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 University of Pharmacy</w:t>
      </w:r>
      <w:bookmarkEnd w:id="5"/>
      <w:r w:rsidR="001A48F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Hanoi, Vietnam</w:t>
      </w:r>
      <w:r w:rsidR="001A48F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6B931C7E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EE73EF7" w14:textId="2FA15E8D" w:rsidR="00017E28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B16CD" w:rsidRPr="00BB16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Researchers from all around the world have been very interested in quercetin because of its many biological activities and promising </w:t>
      </w:r>
      <w:bookmarkStart w:id="6" w:name="OLE_LINK6"/>
      <w:r w:rsidR="00BB16CD" w:rsidRPr="00BB16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pharmaceutical </w:t>
      </w:r>
      <w:bookmarkEnd w:id="6"/>
      <w:r w:rsidR="00BB16CD" w:rsidRPr="00BB16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benefits. </w:t>
      </w:r>
      <w:r w:rsidR="00C67F7D" w:rsidRPr="00C67F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Traditional techniques </w:t>
      </w:r>
      <w:r w:rsidR="003573F9" w:rsidRPr="00BB16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extraction and semi-synthesis via rutin hydrolysis</w:t>
      </w:r>
      <w:r w:rsidR="003573F9" w:rsidRPr="00C67F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67F7D" w:rsidRPr="00C67F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r w:rsidR="00C67F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obtaining </w:t>
      </w:r>
      <w:r w:rsidR="00C67F7D" w:rsidRPr="00C67F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pharmaceutical-grade quercetin frequently involve multi-step purification and hazardous solvents, which restricts their scalability and sustainability.</w:t>
      </w:r>
      <w:r w:rsidR="003577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Start w:id="7" w:name="OLE_LINK1"/>
      <w:r w:rsidR="00017E28" w:rsidRPr="00017E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this study, we developed a scalable, environmentally friendly semi-synthesis method to produce quercetin that satisfies pharmacopoeial standards utilizing rutin from </w:t>
      </w:r>
      <w:r w:rsidR="005F2205" w:rsidRPr="005F2205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Styphnolobium japonicum</w:t>
      </w:r>
      <w:r w:rsidR="00017E28" w:rsidRPr="00017E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 sustainable source that is widespread in Vietnam and other countries.</w:t>
      </w:r>
    </w:p>
    <w:bookmarkEnd w:id="7"/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238B01C" w14:textId="76868F51" w:rsidR="006222FA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D72B3" w:rsidRPr="00ED72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Using </w:t>
      </w:r>
      <w:r w:rsidR="006746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ED72B3" w:rsidRPr="00ED72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2% borate solution, rutin (95% purity) was extracted from </w:t>
      </w:r>
      <w:r w:rsidR="005F2205" w:rsidRPr="005F2205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Styphnolobium japonicum </w:t>
      </w:r>
      <w:r w:rsidR="005F2205" w:rsidRPr="005F22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(L.) Schott</w:t>
      </w:r>
      <w:r w:rsidR="005F2205" w:rsidRPr="00F031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D5F3D" w:rsidRPr="00F031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(dried flower buds)</w:t>
      </w:r>
      <w:r w:rsidR="00ED72B3" w:rsidRPr="00ED72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ED72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E4CE3" w:rsidRPr="004E4C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Rutin was hydrolyzed to produce quercetin, and TLC was used to monitor the reaction's development.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Start w:id="8" w:name="OLE_LINK7"/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Quercetin quality was assessed using the </w:t>
      </w:r>
      <w:r w:rsidR="006206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specifications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20601" w:rsidRPr="006206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described 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the USP 44 </w:t>
      </w:r>
      <w:r w:rsidR="006206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– NF 39 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monograph, </w:t>
      </w:r>
      <w:bookmarkEnd w:id="8"/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HPLC measurement was confirmed in compliance with ICH </w:t>
      </w:r>
      <w:r w:rsidR="003344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guidelines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Using spectroscopic methods such as ¹H-NMR and ¹³C-NMR, IR</w:t>
      </w:r>
      <w:r w:rsidR="006746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6222FA" w:rsidRPr="006222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MS, the structure of quercetin was verified.</w:t>
      </w:r>
    </w:p>
    <w:p w14:paraId="1387B9C3" w14:textId="77777777" w:rsidR="00C315D2" w:rsidRPr="00674670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4AF11E2" w14:textId="47A6E369" w:rsidR="00044D0D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B1FF5">
        <w:rPr>
          <w:rFonts w:ascii="Calibri" w:eastAsia="Calibri" w:hAnsi="Calibri" w:cs="Times New Roman"/>
          <w:kern w:val="0"/>
          <w:lang w:val="en-GB"/>
          <w14:ligatures w14:val="none"/>
        </w:rPr>
        <w:t>A</w:t>
      </w:r>
      <w:r w:rsidR="0011073A" w:rsidRPr="0011073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 a batch size of 10.0 g</w:t>
      </w:r>
      <w:r w:rsidR="003B1F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t</w:t>
      </w:r>
      <w:r w:rsidR="0011073A" w:rsidRPr="0011073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he</w:t>
      </w:r>
      <w:r w:rsidR="003B1FF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hydrolysis of rutin</w:t>
      </w:r>
      <w:r w:rsidR="0011073A" w:rsidRPr="0011073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was conducted at 80 to 90°C for two hours using a reaction media consisting of a 3:1 ratio of 96% ethanol to 20% </w:t>
      </w:r>
      <w:r w:rsidR="00F4497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HCl</w:t>
      </w:r>
      <w:r w:rsidR="0011073A" w:rsidRPr="0011073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A variety of solvents, such as isopropanol, ethanol, dichloromethane, and water (with pH modification), </w:t>
      </w:r>
      <w:r w:rsidR="00F44970" w:rsidRPr="00F44970">
        <w:rPr>
          <w:rFonts w:ascii="Arial" w:eastAsia="Calibri" w:hAnsi="Arial" w:cs="Calibri"/>
          <w:kern w:val="0"/>
          <w:sz w:val="20"/>
          <w:szCs w:val="20"/>
          <w14:ligatures w14:val="none"/>
        </w:rPr>
        <w:t>were used to investigate the purification of the crude product</w:t>
      </w:r>
      <w:r w:rsidR="0011073A" w:rsidRPr="0011073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14698A" w:rsidRPr="0014698A">
        <w:rPr>
          <w:rFonts w:ascii="Arial" w:eastAsia="Calibri" w:hAnsi="Arial" w:cs="Calibri"/>
          <w:kern w:val="0"/>
          <w:sz w:val="20"/>
          <w:szCs w:val="20"/>
          <w14:ligatures w14:val="none"/>
        </w:rPr>
        <w:t>A pharmacopeia-grade purification method was successfully developed, consisting of the following two stages</w:t>
      </w:r>
      <w:r w:rsidR="00044D0D" w:rsidRPr="00044D0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: </w:t>
      </w:r>
      <w:r w:rsidR="004E7267" w:rsidRPr="004E726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</w:t>
      </w:r>
      <w:r w:rsidR="004E7267" w:rsidRPr="009D1CE9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</w:t>
      </w:r>
      <w:r w:rsidR="004E7267" w:rsidRPr="004E726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 Fractional precipitation at pH 4</w:t>
      </w:r>
      <w:r w:rsidR="004E726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.0</w:t>
      </w:r>
      <w:r w:rsidR="004E7267" w:rsidRPr="004E726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produced a product with 99.8% purity and 0.3% total impurities, satisfying the requirements of the applicable pharmacopeial monograph; (</w:t>
      </w:r>
      <w:r w:rsidR="004E7267" w:rsidRPr="009D1CE9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ii</w:t>
      </w:r>
      <w:r w:rsidR="004E7267" w:rsidRPr="004E726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 recrystallization in 96% ethanol at a solvent-to-solid ratio of 30:1 (v/w).</w:t>
      </w:r>
    </w:p>
    <w:p w14:paraId="32385D70" w14:textId="626E6A93" w:rsidR="0031060A" w:rsidRPr="00C315D2" w:rsidRDefault="00AA1758" w:rsidP="00AA1758">
      <w:pPr>
        <w:spacing w:after="0" w:line="240" w:lineRule="auto"/>
        <w:jc w:val="center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>
        <w:rPr>
          <w:noProof/>
        </w:rPr>
        <w:drawing>
          <wp:inline distT="0" distB="0" distL="0" distR="0" wp14:anchorId="50662DFE" wp14:editId="4CA87253">
            <wp:extent cx="5117432" cy="1219543"/>
            <wp:effectExtent l="0" t="0" r="7620" b="0"/>
            <wp:docPr id="1983898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13" cy="122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9324" w14:textId="4193E290" w:rsidR="00C315D2" w:rsidRPr="00936D4C" w:rsidRDefault="00C315D2" w:rsidP="00AA1758">
      <w:pPr>
        <w:spacing w:after="0" w:line="240" w:lineRule="auto"/>
        <w:jc w:val="center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CD4B36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T</w:t>
      </w:r>
      <w:r w:rsidR="00CD4B36" w:rsidRPr="00CD4B36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he obtained quercetin and its HPLC chromatogram.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AF10CAD" w14:textId="21128E6A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F7753" w:rsidRPr="000F77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 successfully developed a semi</w:t>
      </w:r>
      <w:r w:rsidR="002A6A3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0F7753" w:rsidRPr="000F77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synthetic method for producing pharmacopeia-grade quercetin from rutin, achieving a yield of 47%</w:t>
      </w:r>
      <w:r w:rsidR="0002329F" w:rsidRPr="000232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0232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bookmarkStart w:id="9" w:name="OLE_LINK10"/>
      <w:r w:rsidR="00F0314D" w:rsidRPr="00F031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Adjusting the pH in an aqueous medium and then recrystallizing in 96% ethanol is a </w:t>
      </w:r>
      <w:r w:rsidR="000F77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unique</w:t>
      </w:r>
      <w:r w:rsidR="00F0314D" w:rsidRPr="00F031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unpublished purification technique. </w:t>
      </w:r>
      <w:bookmarkEnd w:id="9"/>
      <w:r w:rsidR="00FA484F" w:rsidRPr="00FA48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technique enables the use of safe solvents and reagents, great scalability, and a readily available and sustainable natural feedstock, </w:t>
      </w:r>
      <w:r w:rsidR="00FA484F" w:rsidRPr="00FA48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Styphnolobium japonicum</w:t>
      </w:r>
      <w:r w:rsidR="00FA484F" w:rsidRPr="00FA48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F67D0BA" w14:textId="77777777" w:rsidR="00FA484F" w:rsidRPr="00C315D2" w:rsidRDefault="00FA484F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598148A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24456D4A" w14:textId="748CD114" w:rsidR="00B12606" w:rsidRDefault="00B12606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4E72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E21FF2" w:rsidRPr="00E21FF2">
        <w:t xml:space="preserve"> </w:t>
      </w:r>
      <w:r w:rsidR="00E21FF2" w:rsidRPr="00E21F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Shergujri, M. A.</w:t>
      </w:r>
      <w:r w:rsidR="00E21F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(2024)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2606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ACS Food Sci. Technol.</w:t>
      </w:r>
      <w:r w:rsidRPr="00B126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</w:t>
      </w:r>
      <w:r w:rsidR="00E21F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Pr="00B126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12</w:t>
      </w:r>
      <w:r w:rsidR="00E21F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):</w:t>
      </w:r>
      <w:r w:rsidRPr="00B126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2980–2988</w:t>
      </w:r>
      <w:r w:rsidR="006422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4537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2BEF8DF" w14:textId="77777777" w:rsidR="004C79B3" w:rsidRDefault="004C79B3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3B335478" w14:textId="450840E0" w:rsidR="0045379E" w:rsidRDefault="00E21FF2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4E72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C47487" w:rsidRP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Yang</w:t>
      </w:r>
      <w:r w:rsid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C47487" w:rsidRP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J</w:t>
      </w:r>
      <w:r w:rsid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et al (2019)</w:t>
      </w:r>
      <w:r w:rsidR="00C47487" w:rsidRP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C47487" w:rsidRPr="00C4748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Prev</w:t>
      </w:r>
      <w:r w:rsidR="002A6A39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.</w:t>
      </w:r>
      <w:r w:rsidR="00C47487" w:rsidRPr="00C4748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 Nutr</w:t>
      </w:r>
      <w:r w:rsidR="002A6A39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.</w:t>
      </w:r>
      <w:r w:rsidR="00C47487" w:rsidRPr="00C47487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 Food Sci</w:t>
      </w:r>
      <w:r w:rsid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C47487" w:rsidRPr="00C474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24(3):313-320.</w:t>
      </w:r>
    </w:p>
    <w:p w14:paraId="7D6E388F" w14:textId="520F84B6" w:rsidR="00113BB7" w:rsidRDefault="0045379E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4E726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3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Pr="006422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United States Pharmacopeial Convention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(2021)</w:t>
      </w:r>
      <w:r w:rsidRPr="006422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Pr="0045379E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The United States Pharmacopeia: The National Formulary (USP 44-NF 39)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Quercetin.</w:t>
      </w:r>
      <w:bookmarkEnd w:id="0"/>
    </w:p>
    <w:sectPr w:rsidR="00113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7E28"/>
    <w:rsid w:val="0002329F"/>
    <w:rsid w:val="00044D0D"/>
    <w:rsid w:val="00051754"/>
    <w:rsid w:val="000612B3"/>
    <w:rsid w:val="00096FED"/>
    <w:rsid w:val="000F7753"/>
    <w:rsid w:val="00100A01"/>
    <w:rsid w:val="00107368"/>
    <w:rsid w:val="0011073A"/>
    <w:rsid w:val="00113BB7"/>
    <w:rsid w:val="0014698A"/>
    <w:rsid w:val="001A48FC"/>
    <w:rsid w:val="001B15D4"/>
    <w:rsid w:val="002017E6"/>
    <w:rsid w:val="00274A62"/>
    <w:rsid w:val="00286346"/>
    <w:rsid w:val="0029099D"/>
    <w:rsid w:val="00294059"/>
    <w:rsid w:val="002A6A39"/>
    <w:rsid w:val="0031060A"/>
    <w:rsid w:val="003206E4"/>
    <w:rsid w:val="00331642"/>
    <w:rsid w:val="003344E8"/>
    <w:rsid w:val="003573F9"/>
    <w:rsid w:val="0035771F"/>
    <w:rsid w:val="003A6D5C"/>
    <w:rsid w:val="003B1FF5"/>
    <w:rsid w:val="0045379E"/>
    <w:rsid w:val="004A51B6"/>
    <w:rsid w:val="004C79B3"/>
    <w:rsid w:val="004D11DE"/>
    <w:rsid w:val="004E4CE3"/>
    <w:rsid w:val="004E7267"/>
    <w:rsid w:val="00510CF8"/>
    <w:rsid w:val="00575A29"/>
    <w:rsid w:val="005E5CA2"/>
    <w:rsid w:val="005F2205"/>
    <w:rsid w:val="00601754"/>
    <w:rsid w:val="00620601"/>
    <w:rsid w:val="006222FA"/>
    <w:rsid w:val="00642220"/>
    <w:rsid w:val="00674670"/>
    <w:rsid w:val="00683407"/>
    <w:rsid w:val="006A2E65"/>
    <w:rsid w:val="006A34BE"/>
    <w:rsid w:val="006F3F1C"/>
    <w:rsid w:val="007141F2"/>
    <w:rsid w:val="007561D8"/>
    <w:rsid w:val="00795378"/>
    <w:rsid w:val="00796206"/>
    <w:rsid w:val="007C367E"/>
    <w:rsid w:val="008071C5"/>
    <w:rsid w:val="008961A6"/>
    <w:rsid w:val="008C7D69"/>
    <w:rsid w:val="008D3BC1"/>
    <w:rsid w:val="00904574"/>
    <w:rsid w:val="00906D34"/>
    <w:rsid w:val="00933DC9"/>
    <w:rsid w:val="00936D4C"/>
    <w:rsid w:val="009523F9"/>
    <w:rsid w:val="009650DF"/>
    <w:rsid w:val="009B1CBB"/>
    <w:rsid w:val="009D1CE9"/>
    <w:rsid w:val="00A0516D"/>
    <w:rsid w:val="00A34AA2"/>
    <w:rsid w:val="00AA1758"/>
    <w:rsid w:val="00AF2140"/>
    <w:rsid w:val="00B0659B"/>
    <w:rsid w:val="00B10340"/>
    <w:rsid w:val="00B12606"/>
    <w:rsid w:val="00B45D63"/>
    <w:rsid w:val="00B4721D"/>
    <w:rsid w:val="00B82A66"/>
    <w:rsid w:val="00B8473A"/>
    <w:rsid w:val="00BB053B"/>
    <w:rsid w:val="00BB16CD"/>
    <w:rsid w:val="00BB3028"/>
    <w:rsid w:val="00BC4143"/>
    <w:rsid w:val="00C21815"/>
    <w:rsid w:val="00C315D2"/>
    <w:rsid w:val="00C353D8"/>
    <w:rsid w:val="00C47487"/>
    <w:rsid w:val="00C4788F"/>
    <w:rsid w:val="00C67F7D"/>
    <w:rsid w:val="00CD4B36"/>
    <w:rsid w:val="00CF5A91"/>
    <w:rsid w:val="00D02BB1"/>
    <w:rsid w:val="00D45A74"/>
    <w:rsid w:val="00D7428F"/>
    <w:rsid w:val="00DB51A7"/>
    <w:rsid w:val="00DD5F3D"/>
    <w:rsid w:val="00E21FF2"/>
    <w:rsid w:val="00EA1FC5"/>
    <w:rsid w:val="00EC3746"/>
    <w:rsid w:val="00ED72B3"/>
    <w:rsid w:val="00F0314D"/>
    <w:rsid w:val="00F44970"/>
    <w:rsid w:val="00F539FB"/>
    <w:rsid w:val="00F85528"/>
    <w:rsid w:val="00FA484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3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D686F7C8-32A4-4BFC-AE0E-20FD0DE85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Nguyen Van. Hai</cp:lastModifiedBy>
  <cp:revision>12</cp:revision>
  <dcterms:created xsi:type="dcterms:W3CDTF">2025-03-11T02:17:00Z</dcterms:created>
  <dcterms:modified xsi:type="dcterms:W3CDTF">2025-07-31T11:16:00Z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