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0D287" w14:textId="77777777" w:rsidR="00016419" w:rsidRPr="00CF4F27" w:rsidRDefault="00016419" w:rsidP="0001641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CF4F27">
        <w:rPr>
          <w:rFonts w:ascii="Arial" w:hAnsi="Arial" w:cs="Arial"/>
          <w:b/>
          <w:bCs/>
        </w:rPr>
        <w:t>Bioprospecting of Macula Carotenoid</w:t>
      </w:r>
      <w:r>
        <w:rPr>
          <w:rFonts w:ascii="Arial" w:hAnsi="Arial" w:cs="Arial"/>
          <w:b/>
          <w:bCs/>
        </w:rPr>
        <w:t xml:space="preserve">s for Targeted Interaction with Underexplored </w:t>
      </w:r>
      <w:r w:rsidRPr="00CF4F27">
        <w:rPr>
          <w:rFonts w:ascii="Arial" w:hAnsi="Arial" w:cs="Arial"/>
          <w:b/>
          <w:bCs/>
        </w:rPr>
        <w:t>Retinopathy Protein</w:t>
      </w:r>
      <w:r>
        <w:rPr>
          <w:rFonts w:ascii="Arial" w:hAnsi="Arial" w:cs="Arial"/>
          <w:b/>
          <w:bCs/>
        </w:rPr>
        <w:t>s from a Mouse Dataset</w:t>
      </w:r>
      <w:r w:rsidRPr="00CF4F27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>An</w:t>
      </w:r>
      <w:r w:rsidRPr="00CF4F2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i/>
          <w:iCs/>
        </w:rPr>
        <w:t>I</w:t>
      </w:r>
      <w:r w:rsidRPr="00CF4F27">
        <w:rPr>
          <w:rFonts w:ascii="Arial" w:hAnsi="Arial" w:cs="Arial"/>
          <w:b/>
          <w:bCs/>
          <w:i/>
          <w:iCs/>
        </w:rPr>
        <w:t>n-silico</w:t>
      </w:r>
      <w:r w:rsidRPr="00CF4F2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Exploration</w:t>
      </w:r>
      <w:r w:rsidRPr="00CF4F27">
        <w:rPr>
          <w:rFonts w:ascii="Arial" w:hAnsi="Arial" w:cs="Arial"/>
          <w:b/>
          <w:bCs/>
        </w:rPr>
        <w:t xml:space="preserve"> for </w:t>
      </w:r>
      <w:r>
        <w:rPr>
          <w:rFonts w:ascii="Arial" w:hAnsi="Arial" w:cs="Arial"/>
          <w:b/>
          <w:bCs/>
        </w:rPr>
        <w:t>D</w:t>
      </w:r>
      <w:r w:rsidRPr="00CF4F27">
        <w:rPr>
          <w:rFonts w:ascii="Arial" w:hAnsi="Arial" w:cs="Arial"/>
          <w:b/>
          <w:bCs/>
        </w:rPr>
        <w:t xml:space="preserve">iagnosis and </w:t>
      </w:r>
      <w:r>
        <w:rPr>
          <w:rFonts w:ascii="Arial" w:hAnsi="Arial" w:cs="Arial"/>
          <w:b/>
          <w:bCs/>
        </w:rPr>
        <w:t>T</w:t>
      </w:r>
      <w:r w:rsidRPr="00CF4F27">
        <w:rPr>
          <w:rFonts w:ascii="Arial" w:hAnsi="Arial" w:cs="Arial"/>
          <w:b/>
          <w:bCs/>
        </w:rPr>
        <w:t xml:space="preserve">reatment </w:t>
      </w:r>
      <w:r>
        <w:rPr>
          <w:rFonts w:ascii="Arial" w:hAnsi="Arial" w:cs="Arial"/>
          <w:b/>
          <w:bCs/>
        </w:rPr>
        <w:t>I</w:t>
      </w:r>
      <w:r w:rsidRPr="00CF4F27">
        <w:rPr>
          <w:rFonts w:ascii="Arial" w:hAnsi="Arial" w:cs="Arial"/>
          <w:b/>
          <w:bCs/>
        </w:rPr>
        <w:t>ntervention</w:t>
      </w:r>
    </w:p>
    <w:p w14:paraId="0A297058" w14:textId="77777777" w:rsidR="00016419" w:rsidRPr="005176AA" w:rsidRDefault="00016419" w:rsidP="00016419">
      <w:pPr>
        <w:spacing w:line="240" w:lineRule="auto"/>
        <w:jc w:val="both"/>
        <w:rPr>
          <w:rFonts w:ascii="Arial" w:eastAsia="Times New Roman" w:hAnsi="Arial" w:cs="Arial"/>
          <w:b/>
          <w:bCs/>
          <w:kern w:val="36"/>
          <w:sz w:val="20"/>
          <w:szCs w:val="20"/>
          <w:lang w:eastAsia="en-AU"/>
          <w14:ligatures w14:val="none"/>
        </w:rPr>
      </w:pPr>
      <w:r w:rsidRPr="005176AA">
        <w:rPr>
          <w:rFonts w:ascii="Arial" w:hAnsi="Arial" w:cs="Arial"/>
          <w:b/>
          <w:bCs/>
          <w:sz w:val="20"/>
          <w:szCs w:val="20"/>
          <w:u w:val="single"/>
        </w:rPr>
        <w:t>Christopher B Olowosoke</w:t>
      </w:r>
      <w:r w:rsidRPr="005176AA">
        <w:rPr>
          <w:rFonts w:ascii="Arial" w:hAnsi="Arial" w:cs="Arial"/>
          <w:b/>
          <w:bCs/>
          <w:sz w:val="20"/>
          <w:szCs w:val="20"/>
          <w:u w:val="single"/>
          <w:vertAlign w:val="superscript"/>
        </w:rPr>
        <w:t>1</w:t>
      </w:r>
      <w:r w:rsidRPr="005176AA">
        <w:rPr>
          <w:rFonts w:ascii="Arial" w:hAnsi="Arial" w:cs="Arial"/>
          <w:b/>
          <w:bCs/>
          <w:sz w:val="20"/>
          <w:szCs w:val="20"/>
        </w:rPr>
        <w:t>,</w:t>
      </w:r>
      <w:r w:rsidRPr="005176AA">
        <w:rPr>
          <w:rFonts w:ascii="Arial" w:hAnsi="Arial" w:cs="Arial"/>
          <w:sz w:val="20"/>
          <w:szCs w:val="20"/>
        </w:rPr>
        <w:t xml:space="preserve"> </w:t>
      </w:r>
      <w:r w:rsidRPr="005176AA">
        <w:rPr>
          <w:rFonts w:ascii="Arial" w:eastAsia="Times New Roman" w:hAnsi="Arial" w:cs="Arial"/>
          <w:kern w:val="36"/>
          <w:sz w:val="20"/>
          <w:szCs w:val="20"/>
          <w:lang w:eastAsia="en-AU"/>
          <w14:ligatures w14:val="none"/>
        </w:rPr>
        <w:t>Thilini Thrimawithana</w:t>
      </w:r>
      <w:r w:rsidRPr="005176AA">
        <w:rPr>
          <w:rFonts w:ascii="Arial" w:eastAsia="Times New Roman" w:hAnsi="Arial" w:cs="Arial"/>
          <w:kern w:val="36"/>
          <w:sz w:val="20"/>
          <w:szCs w:val="20"/>
          <w:vertAlign w:val="superscript"/>
          <w:lang w:eastAsia="en-AU"/>
          <w14:ligatures w14:val="none"/>
        </w:rPr>
        <w:t>2</w:t>
      </w:r>
      <w:r w:rsidRPr="005176AA">
        <w:rPr>
          <w:rFonts w:ascii="Arial" w:eastAsia="Times New Roman" w:hAnsi="Arial" w:cs="Arial"/>
          <w:kern w:val="36"/>
          <w:sz w:val="20"/>
          <w:szCs w:val="20"/>
          <w:lang w:eastAsia="en-AU"/>
          <w14:ligatures w14:val="none"/>
        </w:rPr>
        <w:t>, Tien Huynh</w:t>
      </w:r>
      <w:r w:rsidRPr="005176AA">
        <w:rPr>
          <w:rFonts w:ascii="Arial" w:eastAsia="Times New Roman" w:hAnsi="Arial" w:cs="Arial"/>
          <w:kern w:val="36"/>
          <w:sz w:val="20"/>
          <w:szCs w:val="20"/>
          <w:vertAlign w:val="superscript"/>
          <w:lang w:eastAsia="en-AU"/>
          <w14:ligatures w14:val="none"/>
        </w:rPr>
        <w:t>1</w:t>
      </w:r>
    </w:p>
    <w:p w14:paraId="72C797A3" w14:textId="77777777" w:rsidR="00016419" w:rsidRPr="00CE3E0F" w:rsidRDefault="00016419" w:rsidP="000164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3E0F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  <w:r w:rsidRPr="00CE3E0F">
        <w:rPr>
          <w:rFonts w:ascii="Arial" w:hAnsi="Arial" w:cs="Arial"/>
          <w:sz w:val="20"/>
          <w:szCs w:val="20"/>
        </w:rPr>
        <w:t>School of Science, RMIT University, PO Box 71, Bundoora, VIC 3083, Australia</w:t>
      </w:r>
      <w:r>
        <w:rPr>
          <w:rFonts w:ascii="Arial" w:hAnsi="Arial" w:cs="Arial"/>
          <w:sz w:val="20"/>
          <w:szCs w:val="20"/>
        </w:rPr>
        <w:t>.</w:t>
      </w:r>
    </w:p>
    <w:p w14:paraId="6E1146D7" w14:textId="77777777" w:rsidR="00016419" w:rsidRDefault="00016419" w:rsidP="000164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460A">
        <w:rPr>
          <w:rFonts w:ascii="Arial" w:eastAsia="Times New Roman" w:hAnsi="Arial" w:cs="Arial"/>
          <w:b/>
          <w:bCs/>
          <w:kern w:val="36"/>
          <w:sz w:val="20"/>
          <w:szCs w:val="20"/>
          <w:vertAlign w:val="superscript"/>
          <w:lang w:eastAsia="en-AU"/>
          <w14:ligatures w14:val="none"/>
        </w:rPr>
        <w:t>2</w:t>
      </w:r>
      <w:r w:rsidRPr="00CE3E0F">
        <w:rPr>
          <w:rFonts w:ascii="Arial" w:hAnsi="Arial" w:cs="Arial"/>
          <w:sz w:val="20"/>
          <w:szCs w:val="20"/>
        </w:rPr>
        <w:t>School of Health and Biomedical Sciences, RMIT University, PO Box 71, Bundoora, VIC 3083, Australia</w:t>
      </w:r>
      <w:r>
        <w:rPr>
          <w:rFonts w:ascii="Arial" w:hAnsi="Arial" w:cs="Arial"/>
          <w:sz w:val="20"/>
          <w:szCs w:val="20"/>
        </w:rPr>
        <w:t>.</w:t>
      </w:r>
    </w:p>
    <w:p w14:paraId="27D7A569" w14:textId="77777777" w:rsidR="00016419" w:rsidRDefault="00016419" w:rsidP="00016419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Pr="00C315D2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</w:t>
      </w:r>
      <w:r w:rsidRPr="00FA35D3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Retinopathy is a progressive retina disorder, affecting millions with</w:t>
      </w:r>
      <w:r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and </w:t>
      </w:r>
      <w:r w:rsidRPr="00FA35D3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without</w:t>
      </w:r>
      <w:r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Pr="00FA35D3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diabetes, hypertension or by frequent radiation exposure. For safe pharmacological intervention, phytochemicals specifically macular carotenoids (MC); lutein, meso-zeaxanthin and zeaxanthin (LMZ) are vital in retinal health due to </w:t>
      </w:r>
      <w:r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its </w:t>
      </w:r>
      <w:r w:rsidRPr="00FA35D3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high bioaccumulation (80-90%) in the macula (1), however, the </w:t>
      </w:r>
      <w:r w:rsidRPr="00FA35D3">
        <w:rPr>
          <w:rFonts w:ascii="Arial" w:hAnsi="Arial" w:cs="Arial"/>
          <w:sz w:val="20"/>
          <w:szCs w:val="20"/>
        </w:rPr>
        <w:t xml:space="preserve">mechanistic cause-effect benefit of </w:t>
      </w:r>
      <w:r>
        <w:rPr>
          <w:rFonts w:ascii="Arial" w:hAnsi="Arial" w:cs="Arial"/>
          <w:sz w:val="20"/>
          <w:szCs w:val="20"/>
        </w:rPr>
        <w:t>LMZ</w:t>
      </w:r>
      <w:r w:rsidRPr="00FA35D3">
        <w:rPr>
          <w:rFonts w:ascii="Arial" w:hAnsi="Arial" w:cs="Arial"/>
          <w:sz w:val="20"/>
          <w:szCs w:val="20"/>
        </w:rPr>
        <w:t xml:space="preserve"> are restricted</w:t>
      </w:r>
      <w:r>
        <w:rPr>
          <w:rFonts w:ascii="Arial" w:hAnsi="Arial" w:cs="Arial"/>
          <w:sz w:val="20"/>
          <w:szCs w:val="20"/>
        </w:rPr>
        <w:t xml:space="preserve"> to</w:t>
      </w:r>
      <w:r w:rsidRPr="00FA35D3">
        <w:rPr>
          <w:rFonts w:ascii="Arial" w:hAnsi="Arial" w:cs="Arial"/>
          <w:sz w:val="20"/>
          <w:szCs w:val="20"/>
        </w:rPr>
        <w:t xml:space="preserve"> </w:t>
      </w:r>
      <w:r w:rsidRPr="00FA35D3">
        <w:rPr>
          <w:rFonts w:ascii="Arial" w:hAnsi="Arial" w:cs="Arial"/>
          <w:color w:val="333333"/>
          <w:sz w:val="20"/>
          <w:szCs w:val="20"/>
        </w:rPr>
        <w:t>interleukin 6 (IL-6), heme oxygenase-1 (HO-1), superoxide dismutase (SOD), tumor necrosis factor alpha (TNF</w:t>
      </w:r>
      <w:r w:rsidRPr="00FA35D3">
        <w:rPr>
          <w:rFonts w:ascii="Arial" w:hAnsi="Arial" w:cs="Arial"/>
          <w:color w:val="000000" w:themeColor="text1"/>
          <w:sz w:val="20"/>
          <w:szCs w:val="20"/>
        </w:rPr>
        <w:t>-α</w:t>
      </w:r>
      <w:r w:rsidRPr="00FA35D3">
        <w:rPr>
          <w:rFonts w:ascii="Arial" w:hAnsi="Arial" w:cs="Arial"/>
          <w:color w:val="333333"/>
          <w:sz w:val="20"/>
          <w:szCs w:val="20"/>
        </w:rPr>
        <w:t>), and vascular endothelial growth factor (VEGF)</w:t>
      </w:r>
      <w:r>
        <w:rPr>
          <w:rFonts w:ascii="Arial" w:hAnsi="Arial" w:cs="Arial"/>
          <w:color w:val="333333"/>
          <w:sz w:val="20"/>
          <w:szCs w:val="20"/>
        </w:rPr>
        <w:t xml:space="preserve"> for mice</w:t>
      </w:r>
      <w:r w:rsidRPr="00FA35D3">
        <w:rPr>
          <w:rFonts w:ascii="Arial" w:hAnsi="Arial" w:cs="Arial"/>
          <w:color w:val="333333"/>
          <w:sz w:val="20"/>
          <w:szCs w:val="20"/>
        </w:rPr>
        <w:t xml:space="preserve"> (2)</w:t>
      </w:r>
      <w:r w:rsidRPr="00FA35D3">
        <w:rPr>
          <w:rFonts w:ascii="Arial" w:hAnsi="Arial" w:cs="Arial"/>
          <w:sz w:val="20"/>
          <w:szCs w:val="20"/>
        </w:rPr>
        <w:t>.</w:t>
      </w:r>
      <w:r w:rsidRPr="00FA35D3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The </w:t>
      </w:r>
      <w:r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aim of this study was to bioprospect LMZ </w:t>
      </w:r>
      <w:r w:rsidRPr="00FA35D3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for underexplored retinopathy-related proteins.</w:t>
      </w:r>
      <w:r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</w:t>
      </w:r>
    </w:p>
    <w:p w14:paraId="16F17800" w14:textId="77777777" w:rsidR="00016419" w:rsidRPr="00BF3D2D" w:rsidRDefault="00016419" w:rsidP="00016419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 w:rsidRPr="00C315D2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Pr="00FA35D3">
        <w:rPr>
          <w:rFonts w:ascii="Arial" w:hAnsi="Arial" w:cs="Arial"/>
          <w:sz w:val="20"/>
          <w:szCs w:val="20"/>
        </w:rPr>
        <w:t>etwork pharmacology</w:t>
      </w:r>
      <w:r>
        <w:rPr>
          <w:rFonts w:ascii="Arial" w:hAnsi="Arial" w:cs="Arial"/>
          <w:sz w:val="20"/>
          <w:szCs w:val="20"/>
        </w:rPr>
        <w:t xml:space="preserve"> was performed</w:t>
      </w:r>
      <w:r w:rsidRPr="00FA35D3">
        <w:rPr>
          <w:rFonts w:ascii="Arial" w:hAnsi="Arial" w:cs="Arial"/>
          <w:sz w:val="20"/>
          <w:szCs w:val="20"/>
        </w:rPr>
        <w:t xml:space="preserve"> to identify the therapeutic correlation of LMZ against underexplored protein</w:t>
      </w:r>
      <w:r>
        <w:rPr>
          <w:rFonts w:ascii="Arial" w:hAnsi="Arial" w:cs="Arial"/>
          <w:sz w:val="20"/>
          <w:szCs w:val="20"/>
        </w:rPr>
        <w:t>s</w:t>
      </w:r>
      <w:r w:rsidRPr="00FA35D3">
        <w:rPr>
          <w:rFonts w:ascii="Arial" w:hAnsi="Arial" w:cs="Arial"/>
          <w:sz w:val="20"/>
          <w:szCs w:val="20"/>
        </w:rPr>
        <w:t xml:space="preserve"> in angiogenic, apoptotic, inflammatory, oxidative stress, and</w:t>
      </w:r>
      <w:r>
        <w:rPr>
          <w:rFonts w:ascii="Arial" w:hAnsi="Arial" w:cs="Arial"/>
          <w:sz w:val="20"/>
          <w:szCs w:val="20"/>
        </w:rPr>
        <w:t xml:space="preserve"> retinal n</w:t>
      </w:r>
      <w:r w:rsidRPr="00FA35D3">
        <w:rPr>
          <w:rFonts w:ascii="Arial" w:hAnsi="Arial" w:cs="Arial"/>
          <w:sz w:val="20"/>
          <w:szCs w:val="20"/>
        </w:rPr>
        <w:t>eurodegeneration mechanism</w:t>
      </w:r>
      <w:r>
        <w:rPr>
          <w:rFonts w:ascii="Arial" w:hAnsi="Arial" w:cs="Arial"/>
          <w:sz w:val="20"/>
          <w:szCs w:val="20"/>
        </w:rPr>
        <w:t>s</w:t>
      </w:r>
      <w:r w:rsidRPr="00FA35D3">
        <w:rPr>
          <w:rFonts w:ascii="Arial" w:hAnsi="Arial" w:cs="Arial"/>
          <w:sz w:val="20"/>
          <w:szCs w:val="20"/>
        </w:rPr>
        <w:t xml:space="preserve"> of early retinopathy in </w:t>
      </w:r>
      <w:r>
        <w:rPr>
          <w:rFonts w:ascii="Arial" w:hAnsi="Arial" w:cs="Arial"/>
          <w:sz w:val="20"/>
          <w:szCs w:val="20"/>
        </w:rPr>
        <w:t xml:space="preserve">a </w:t>
      </w:r>
      <w:r w:rsidRPr="00FA35D3">
        <w:rPr>
          <w:rFonts w:ascii="Arial" w:hAnsi="Arial" w:cs="Arial"/>
          <w:sz w:val="20"/>
          <w:szCs w:val="20"/>
        </w:rPr>
        <w:t xml:space="preserve">mouse dataset. </w:t>
      </w:r>
      <w:r>
        <w:rPr>
          <w:rFonts w:ascii="Arial" w:hAnsi="Arial" w:cs="Arial"/>
          <w:sz w:val="20"/>
          <w:szCs w:val="20"/>
        </w:rPr>
        <w:t>A</w:t>
      </w:r>
      <w:r w:rsidRPr="00FA35D3">
        <w:rPr>
          <w:rFonts w:ascii="Arial" w:hAnsi="Arial" w:cs="Arial"/>
          <w:sz w:val="20"/>
          <w:szCs w:val="20"/>
        </w:rPr>
        <w:t xml:space="preserve"> protein-protein interaction (PPI)</w:t>
      </w:r>
      <w:r>
        <w:rPr>
          <w:rFonts w:ascii="Arial" w:hAnsi="Arial" w:cs="Arial"/>
          <w:sz w:val="20"/>
          <w:szCs w:val="20"/>
        </w:rPr>
        <w:t xml:space="preserve"> and</w:t>
      </w:r>
      <w:r w:rsidRPr="00FA35D3">
        <w:rPr>
          <w:rFonts w:ascii="Arial" w:hAnsi="Arial" w:cs="Arial"/>
          <w:sz w:val="20"/>
          <w:szCs w:val="20"/>
        </w:rPr>
        <w:t xml:space="preserve"> enrichment analysis </w:t>
      </w:r>
      <w:r>
        <w:rPr>
          <w:rFonts w:ascii="Arial" w:hAnsi="Arial" w:cs="Arial"/>
          <w:sz w:val="20"/>
          <w:szCs w:val="20"/>
        </w:rPr>
        <w:t xml:space="preserve">was performed </w:t>
      </w:r>
      <w:r w:rsidRPr="00FA35D3">
        <w:rPr>
          <w:rFonts w:ascii="Arial" w:hAnsi="Arial" w:cs="Arial"/>
          <w:sz w:val="20"/>
          <w:szCs w:val="20"/>
        </w:rPr>
        <w:t>to identify common pathways and then advance</w:t>
      </w:r>
      <w:r>
        <w:rPr>
          <w:rFonts w:ascii="Arial" w:hAnsi="Arial" w:cs="Arial"/>
          <w:sz w:val="20"/>
          <w:szCs w:val="20"/>
        </w:rPr>
        <w:t>d</w:t>
      </w:r>
      <w:r w:rsidRPr="00FA35D3">
        <w:rPr>
          <w:rFonts w:ascii="Arial" w:hAnsi="Arial" w:cs="Arial"/>
          <w:sz w:val="20"/>
          <w:szCs w:val="20"/>
        </w:rPr>
        <w:t xml:space="preserve"> to molecular docking for binding interaction and affinity.</w:t>
      </w:r>
    </w:p>
    <w:p w14:paraId="48955D15" w14:textId="77777777" w:rsidR="00016419" w:rsidRPr="00FA35D3" w:rsidRDefault="00016419" w:rsidP="00016419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</w:pPr>
      <w:r w:rsidRPr="00FA35D3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Results.</w:t>
      </w:r>
      <w:r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A total of six key underexplored proteins</w:t>
      </w:r>
      <w:r>
        <w:rPr>
          <w:rFonts w:ascii="Arial" w:hAnsi="Arial" w:cs="Arial"/>
          <w:sz w:val="20"/>
          <w:szCs w:val="20"/>
        </w:rPr>
        <w:t xml:space="preserve"> were identified by network pharmacology. Notably, </w:t>
      </w:r>
      <w:r w:rsidRPr="00FA35D3">
        <w:rPr>
          <w:rFonts w:ascii="Arial" w:hAnsi="Arial" w:cs="Arial"/>
          <w:sz w:val="20"/>
          <w:szCs w:val="20"/>
        </w:rPr>
        <w:t xml:space="preserve"> cyclin-dependent kinase 1 (cdk1), integrin beta-1 (itgb1), phosphatidylinositol-4,5-bisphosphate 3-kinase catalytic subunit alpha (pik3ca), phosphoinositide-3-kinase regulatory subunit 1 alpha (</w:t>
      </w:r>
      <w:r w:rsidRPr="00FA35D3">
        <w:rPr>
          <w:rFonts w:ascii="Arial" w:hAnsi="Arial" w:cs="Arial"/>
          <w:color w:val="000000"/>
          <w:sz w:val="20"/>
          <w:szCs w:val="20"/>
        </w:rPr>
        <w:t>pik3r1</w:t>
      </w:r>
      <w:r w:rsidRPr="00FA35D3">
        <w:rPr>
          <w:rFonts w:ascii="Arial" w:hAnsi="Arial" w:cs="Arial"/>
          <w:sz w:val="20"/>
          <w:szCs w:val="20"/>
        </w:rPr>
        <w:t>), platelet-derived growth factor receptor beta (pdgfrb), and protein kinase c zeta type (</w:t>
      </w:r>
      <w:r w:rsidRPr="00FA35D3">
        <w:rPr>
          <w:rFonts w:ascii="Arial" w:hAnsi="Arial" w:cs="Arial"/>
          <w:color w:val="000000"/>
          <w:sz w:val="20"/>
          <w:szCs w:val="20"/>
        </w:rPr>
        <w:t>prkcz</w:t>
      </w:r>
      <w:r w:rsidRPr="00FA35D3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 xml:space="preserve">were related to AGE-RAGE, mTOR, PIK3-Akt, and VEGF signalling pathways, </w:t>
      </w:r>
      <w:r w:rsidRPr="00FA35D3">
        <w:rPr>
          <w:rFonts w:ascii="Arial" w:hAnsi="Arial" w:cs="Arial"/>
          <w:sz w:val="20"/>
          <w:szCs w:val="20"/>
        </w:rPr>
        <w:t xml:space="preserve">based on </w:t>
      </w:r>
      <w:r>
        <w:rPr>
          <w:rFonts w:ascii="Arial" w:hAnsi="Arial" w:cs="Arial"/>
          <w:sz w:val="20"/>
          <w:szCs w:val="20"/>
        </w:rPr>
        <w:t>enrichment analysis</w:t>
      </w:r>
      <w:r w:rsidRPr="00FA35D3">
        <w:rPr>
          <w:rFonts w:ascii="Arial" w:hAnsi="Arial" w:cs="Arial"/>
          <w:sz w:val="20"/>
          <w:szCs w:val="20"/>
        </w:rPr>
        <w:t>, and the functional association was supported by PPI. With docking, LMZ had affinity within -2.722 to</w:t>
      </w:r>
      <w:r>
        <w:rPr>
          <w:rFonts w:ascii="Arial" w:hAnsi="Arial" w:cs="Arial"/>
          <w:sz w:val="20"/>
          <w:szCs w:val="20"/>
        </w:rPr>
        <w:t xml:space="preserve"> </w:t>
      </w:r>
      <w:r w:rsidRPr="00FA35D3">
        <w:rPr>
          <w:rFonts w:ascii="Arial" w:hAnsi="Arial" w:cs="Arial"/>
          <w:sz w:val="20"/>
          <w:szCs w:val="20"/>
        </w:rPr>
        <w:t>-6.664</w:t>
      </w:r>
      <w:r>
        <w:rPr>
          <w:rFonts w:ascii="Arial" w:hAnsi="Arial" w:cs="Arial"/>
          <w:sz w:val="20"/>
          <w:szCs w:val="20"/>
        </w:rPr>
        <w:t xml:space="preserve"> </w:t>
      </w:r>
      <w:r w:rsidRPr="00FA35D3">
        <w:rPr>
          <w:rFonts w:ascii="Arial" w:hAnsi="Arial" w:cs="Arial"/>
          <w:sz w:val="20"/>
          <w:szCs w:val="20"/>
        </w:rPr>
        <w:t>kcal/mol</w:t>
      </w:r>
      <w:r>
        <w:rPr>
          <w:rFonts w:ascii="Arial" w:hAnsi="Arial" w:cs="Arial"/>
          <w:sz w:val="20"/>
          <w:szCs w:val="20"/>
        </w:rPr>
        <w:t xml:space="preserve"> of</w:t>
      </w:r>
      <w:r w:rsidRPr="00FA35D3">
        <w:rPr>
          <w:rFonts w:ascii="Arial" w:hAnsi="Arial" w:cs="Arial"/>
          <w:sz w:val="20"/>
          <w:szCs w:val="20"/>
        </w:rPr>
        <w:t xml:space="preserve"> known inhibitors</w:t>
      </w:r>
      <w:r w:rsidRPr="00FA35D3">
        <w:rPr>
          <w:rFonts w:ascii="Arial" w:eastAsia="Times New Roman" w:hAnsi="Arial" w:cs="Arial"/>
          <w:sz w:val="20"/>
          <w:szCs w:val="20"/>
        </w:rPr>
        <w:t>, roniciclib (cdk1), risuteganib (itgb1), imatinib (pdgfrb), palomid529 (pik3ca), dactolisib (pik3r1)</w:t>
      </w:r>
      <w:r>
        <w:rPr>
          <w:rFonts w:ascii="Arial" w:eastAsia="Times New Roman" w:hAnsi="Arial" w:cs="Arial"/>
          <w:sz w:val="20"/>
          <w:szCs w:val="20"/>
        </w:rPr>
        <w:t>,</w:t>
      </w:r>
      <w:r w:rsidRPr="00FA35D3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and </w:t>
      </w:r>
      <w:r w:rsidRPr="00FA35D3">
        <w:rPr>
          <w:rFonts w:ascii="Arial" w:eastAsia="Times New Roman" w:hAnsi="Arial" w:cs="Arial"/>
          <w:sz w:val="20"/>
          <w:szCs w:val="20"/>
        </w:rPr>
        <w:t>stat (prkcz)</w:t>
      </w:r>
      <w:r w:rsidRPr="00FA35D3">
        <w:rPr>
          <w:rFonts w:ascii="Arial" w:hAnsi="Arial" w:cs="Arial"/>
          <w:sz w:val="20"/>
          <w:szCs w:val="20"/>
        </w:rPr>
        <w:t xml:space="preserve">, demonstrating LMZ suitability </w:t>
      </w:r>
      <w:r>
        <w:rPr>
          <w:rFonts w:ascii="Arial" w:hAnsi="Arial" w:cs="Arial"/>
          <w:sz w:val="20"/>
          <w:szCs w:val="20"/>
        </w:rPr>
        <w:t>to target</w:t>
      </w:r>
      <w:r w:rsidRPr="00FA35D3">
        <w:rPr>
          <w:rFonts w:ascii="Arial" w:hAnsi="Arial" w:cs="Arial"/>
          <w:sz w:val="20"/>
          <w:szCs w:val="20"/>
        </w:rPr>
        <w:t xml:space="preserve"> th</w:t>
      </w:r>
      <w:r>
        <w:rPr>
          <w:rFonts w:ascii="Arial" w:hAnsi="Arial" w:cs="Arial"/>
          <w:sz w:val="20"/>
          <w:szCs w:val="20"/>
        </w:rPr>
        <w:t>ese proteins.</w:t>
      </w:r>
    </w:p>
    <w:p w14:paraId="2520DA9A" w14:textId="77777777" w:rsidR="00016419" w:rsidRPr="00FA35D3" w:rsidRDefault="00016419" w:rsidP="00016419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FA35D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Conclusion/Discussion.</w:t>
      </w:r>
      <w:r w:rsidRPr="00FA35D3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Pr="00FA35D3">
        <w:rPr>
          <w:rFonts w:ascii="Arial" w:hAnsi="Arial" w:cs="Arial"/>
          <w:sz w:val="20"/>
          <w:szCs w:val="20"/>
        </w:rPr>
        <w:t xml:space="preserve">These results proposed LMZ could selectively </w:t>
      </w:r>
      <w:r>
        <w:rPr>
          <w:rFonts w:ascii="Arial" w:hAnsi="Arial" w:cs="Arial"/>
          <w:sz w:val="20"/>
          <w:szCs w:val="20"/>
        </w:rPr>
        <w:t>stimulate</w:t>
      </w:r>
      <w:r w:rsidRPr="00FA35D3">
        <w:rPr>
          <w:rFonts w:ascii="Arial" w:hAnsi="Arial" w:cs="Arial"/>
          <w:sz w:val="20"/>
          <w:szCs w:val="20"/>
        </w:rPr>
        <w:t xml:space="preserve"> the underexplored</w:t>
      </w:r>
      <w:r>
        <w:rPr>
          <w:rFonts w:ascii="Arial" w:hAnsi="Arial" w:cs="Arial"/>
          <w:sz w:val="20"/>
          <w:szCs w:val="20"/>
        </w:rPr>
        <w:t xml:space="preserve"> </w:t>
      </w:r>
      <w:r w:rsidRPr="00FA35D3">
        <w:rPr>
          <w:rFonts w:ascii="Arial" w:hAnsi="Arial" w:cs="Arial"/>
          <w:sz w:val="20"/>
          <w:szCs w:val="20"/>
        </w:rPr>
        <w:t xml:space="preserve"> proteins for early retinopathy treatment</w:t>
      </w:r>
      <w:r>
        <w:rPr>
          <w:rFonts w:ascii="Arial" w:hAnsi="Arial" w:cs="Arial"/>
          <w:sz w:val="20"/>
          <w:szCs w:val="20"/>
        </w:rPr>
        <w:t xml:space="preserve"> compared to</w:t>
      </w:r>
      <w:r w:rsidRPr="00FA35D3">
        <w:rPr>
          <w:rFonts w:ascii="Arial" w:hAnsi="Arial" w:cs="Arial"/>
          <w:sz w:val="20"/>
          <w:szCs w:val="20"/>
        </w:rPr>
        <w:t xml:space="preserve"> inhibitor</w:t>
      </w:r>
      <w:r>
        <w:rPr>
          <w:rFonts w:ascii="Arial" w:hAnsi="Arial" w:cs="Arial"/>
          <w:sz w:val="20"/>
          <w:szCs w:val="20"/>
        </w:rPr>
        <w:t>s</w:t>
      </w:r>
      <w:r w:rsidRPr="00FA35D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These f</w:t>
      </w:r>
      <w:r w:rsidRPr="00FA35D3">
        <w:rPr>
          <w:rFonts w:ascii="Arial" w:hAnsi="Arial" w:cs="Arial"/>
          <w:sz w:val="20"/>
          <w:szCs w:val="20"/>
        </w:rPr>
        <w:t>indings provide insight useful for experiment</w:t>
      </w:r>
      <w:r>
        <w:rPr>
          <w:rFonts w:ascii="Arial" w:hAnsi="Arial" w:cs="Arial"/>
          <w:sz w:val="20"/>
          <w:szCs w:val="20"/>
        </w:rPr>
        <w:t>ation of LMZ benefit from mice to human trials</w:t>
      </w:r>
      <w:r w:rsidRPr="00FA35D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</w:t>
      </w:r>
      <w:r w:rsidRPr="00FA35D3">
        <w:rPr>
          <w:rFonts w:ascii="Arial" w:hAnsi="Arial" w:cs="Arial"/>
          <w:sz w:val="20"/>
          <w:szCs w:val="20"/>
        </w:rPr>
        <w:t xml:space="preserve"> early retinopathy.</w:t>
      </w:r>
    </w:p>
    <w:p w14:paraId="786F15F7" w14:textId="77777777" w:rsidR="00016419" w:rsidRPr="00FA35D3" w:rsidRDefault="00016419" w:rsidP="000164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53564">
        <w:rPr>
          <w:rFonts w:ascii="Arial" w:eastAsia="Calibri" w:hAnsi="Arial" w:cs="Calibri"/>
          <w:b/>
          <w:kern w:val="0"/>
          <w:sz w:val="20"/>
          <w:szCs w:val="20"/>
          <w:lang w:val="en-US"/>
          <w14:ligatures w14:val="none"/>
        </w:rPr>
        <w:t>Acknowledgement</w:t>
      </w:r>
      <w:r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. CBO was awarded an RMIT Scholarship.</w:t>
      </w:r>
    </w:p>
    <w:p w14:paraId="58AAA4A2" w14:textId="77777777" w:rsidR="00016419" w:rsidRDefault="00016419" w:rsidP="000164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7AB717" w14:textId="77777777" w:rsidR="00016419" w:rsidRDefault="00016419" w:rsidP="00016419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References</w:t>
      </w:r>
    </w:p>
    <w:p w14:paraId="6FCEB7D5" w14:textId="77777777" w:rsidR="00016419" w:rsidRPr="00033956" w:rsidRDefault="00016419" w:rsidP="0001641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33956">
        <w:rPr>
          <w:rFonts w:ascii="Arial" w:hAnsi="Arial" w:cs="Arial"/>
          <w:sz w:val="20"/>
          <w:szCs w:val="20"/>
        </w:rPr>
        <w:t>Rossino</w:t>
      </w:r>
      <w:r>
        <w:rPr>
          <w:rFonts w:ascii="Arial" w:hAnsi="Arial" w:cs="Arial"/>
          <w:sz w:val="20"/>
          <w:szCs w:val="20"/>
        </w:rPr>
        <w:t>,</w:t>
      </w:r>
      <w:r w:rsidRPr="00033956"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</w:rPr>
        <w:t>.</w:t>
      </w:r>
      <w:r w:rsidRPr="00033956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.</w:t>
      </w:r>
      <w:r w:rsidRPr="00033956">
        <w:rPr>
          <w:rFonts w:ascii="Arial" w:hAnsi="Arial" w:cs="Arial"/>
          <w:sz w:val="20"/>
          <w:szCs w:val="20"/>
        </w:rPr>
        <w:t xml:space="preserve">, </w:t>
      </w:r>
      <w:r w:rsidRPr="00F96206">
        <w:rPr>
          <w:rFonts w:ascii="Arial" w:hAnsi="Arial" w:cs="Arial"/>
          <w:sz w:val="20"/>
          <w:szCs w:val="20"/>
        </w:rPr>
        <w:t>&amp;</w:t>
      </w:r>
      <w:r>
        <w:rPr>
          <w:rFonts w:ascii="Arial" w:hAnsi="Arial" w:cs="Arial"/>
          <w:sz w:val="20"/>
          <w:szCs w:val="20"/>
        </w:rPr>
        <w:t xml:space="preserve"> </w:t>
      </w:r>
      <w:r w:rsidRPr="00033956">
        <w:rPr>
          <w:rFonts w:ascii="Arial" w:hAnsi="Arial" w:cs="Arial"/>
          <w:sz w:val="20"/>
          <w:szCs w:val="20"/>
        </w:rPr>
        <w:t>Casini</w:t>
      </w:r>
      <w:r>
        <w:rPr>
          <w:rFonts w:ascii="Arial" w:hAnsi="Arial" w:cs="Arial"/>
          <w:sz w:val="20"/>
          <w:szCs w:val="20"/>
        </w:rPr>
        <w:t>,</w:t>
      </w:r>
      <w:r w:rsidRPr="00033956">
        <w:rPr>
          <w:rFonts w:ascii="Arial" w:hAnsi="Arial" w:cs="Arial"/>
          <w:sz w:val="20"/>
          <w:szCs w:val="20"/>
        </w:rPr>
        <w:t xml:space="preserve"> G. </w:t>
      </w:r>
      <w:r>
        <w:rPr>
          <w:rFonts w:ascii="Arial" w:hAnsi="Arial" w:cs="Arial"/>
          <w:sz w:val="20"/>
          <w:szCs w:val="20"/>
        </w:rPr>
        <w:t xml:space="preserve">(2019) </w:t>
      </w:r>
      <w:r w:rsidRPr="00033956">
        <w:rPr>
          <w:rFonts w:ascii="Arial" w:hAnsi="Arial" w:cs="Arial"/>
          <w:sz w:val="20"/>
          <w:szCs w:val="20"/>
        </w:rPr>
        <w:t xml:space="preserve">Nutraceuticals for the Treatment of Diabetic Retinopathy. </w:t>
      </w:r>
      <w:r w:rsidRPr="00033956">
        <w:rPr>
          <w:rFonts w:ascii="Arial" w:hAnsi="Arial" w:cs="Arial"/>
          <w:i/>
          <w:iCs/>
          <w:sz w:val="20"/>
          <w:szCs w:val="20"/>
        </w:rPr>
        <w:t>Nutrients</w:t>
      </w:r>
      <w:r>
        <w:rPr>
          <w:rFonts w:ascii="Arial" w:hAnsi="Arial" w:cs="Arial"/>
          <w:sz w:val="20"/>
          <w:szCs w:val="20"/>
        </w:rPr>
        <w:t>,</w:t>
      </w:r>
      <w:r w:rsidRPr="00033956">
        <w:rPr>
          <w:rFonts w:ascii="Arial" w:hAnsi="Arial" w:cs="Arial"/>
          <w:sz w:val="20"/>
          <w:szCs w:val="20"/>
        </w:rPr>
        <w:t xml:space="preserve"> </w:t>
      </w:r>
      <w:r w:rsidRPr="00033956">
        <w:rPr>
          <w:rFonts w:ascii="Arial" w:hAnsi="Arial" w:cs="Arial"/>
          <w:b/>
          <w:bCs/>
          <w:sz w:val="20"/>
          <w:szCs w:val="20"/>
        </w:rPr>
        <w:t>11</w:t>
      </w:r>
      <w:r w:rsidRPr="00033956">
        <w:rPr>
          <w:rFonts w:ascii="Arial" w:hAnsi="Arial" w:cs="Arial"/>
          <w:sz w:val="20"/>
          <w:szCs w:val="20"/>
        </w:rPr>
        <w:t>(4)</w:t>
      </w:r>
      <w:r>
        <w:rPr>
          <w:rFonts w:ascii="Arial" w:hAnsi="Arial" w:cs="Arial"/>
          <w:sz w:val="20"/>
          <w:szCs w:val="20"/>
        </w:rPr>
        <w:t>,</w:t>
      </w:r>
      <w:r w:rsidRPr="00033956">
        <w:rPr>
          <w:rFonts w:ascii="Arial" w:hAnsi="Arial" w:cs="Arial"/>
          <w:sz w:val="20"/>
          <w:szCs w:val="20"/>
        </w:rPr>
        <w:t xml:space="preserve"> 771.</w:t>
      </w:r>
    </w:p>
    <w:p w14:paraId="686F5558" w14:textId="77777777" w:rsidR="00016419" w:rsidRPr="00F96206" w:rsidRDefault="00016419" w:rsidP="000164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6206">
        <w:rPr>
          <w:rFonts w:ascii="Arial" w:hAnsi="Arial" w:cs="Arial"/>
          <w:sz w:val="20"/>
          <w:szCs w:val="20"/>
        </w:rPr>
        <w:t xml:space="preserve">Neelam, K., </w:t>
      </w:r>
      <w:proofErr w:type="spellStart"/>
      <w:r w:rsidRPr="00F96206">
        <w:rPr>
          <w:rFonts w:ascii="Arial" w:hAnsi="Arial" w:cs="Arial"/>
          <w:sz w:val="20"/>
          <w:szCs w:val="20"/>
        </w:rPr>
        <w:t>Goenadi</w:t>
      </w:r>
      <w:proofErr w:type="spellEnd"/>
      <w:r w:rsidRPr="00F96206">
        <w:rPr>
          <w:rFonts w:ascii="Arial" w:hAnsi="Arial" w:cs="Arial"/>
          <w:sz w:val="20"/>
          <w:szCs w:val="20"/>
        </w:rPr>
        <w:t>, C. J., Lun, K., Yip, C. C., &amp; Eong, K. G. A. (2017). Putative protective role of lutein and zeaxanthin in diabetic retinopathy. </w:t>
      </w:r>
      <w:r w:rsidRPr="00F96206">
        <w:rPr>
          <w:rFonts w:ascii="Arial" w:hAnsi="Arial" w:cs="Arial"/>
          <w:i/>
          <w:iCs/>
          <w:sz w:val="20"/>
          <w:szCs w:val="20"/>
        </w:rPr>
        <w:t>British Journal of Ophthalmology</w:t>
      </w:r>
      <w:r>
        <w:rPr>
          <w:rFonts w:ascii="Arial" w:hAnsi="Arial" w:cs="Arial"/>
          <w:sz w:val="20"/>
          <w:szCs w:val="20"/>
        </w:rPr>
        <w:t>,</w:t>
      </w:r>
      <w:r w:rsidRPr="00F96206">
        <w:rPr>
          <w:rFonts w:ascii="Arial" w:hAnsi="Arial" w:cs="Arial"/>
          <w:sz w:val="20"/>
          <w:szCs w:val="20"/>
        </w:rPr>
        <w:t> </w:t>
      </w:r>
      <w:r w:rsidRPr="00F96206">
        <w:rPr>
          <w:rFonts w:ascii="Arial" w:hAnsi="Arial" w:cs="Arial"/>
          <w:b/>
          <w:bCs/>
          <w:sz w:val="20"/>
          <w:szCs w:val="20"/>
        </w:rPr>
        <w:t>101</w:t>
      </w:r>
      <w:r w:rsidRPr="00F96206">
        <w:rPr>
          <w:rFonts w:ascii="Arial" w:hAnsi="Arial" w:cs="Arial"/>
          <w:sz w:val="20"/>
          <w:szCs w:val="20"/>
        </w:rPr>
        <w:t>(5), 551-558.</w:t>
      </w:r>
    </w:p>
    <w:p w14:paraId="122A11A0" w14:textId="77777777" w:rsidR="00016419" w:rsidRDefault="00016419"/>
    <w:sectPr w:rsidR="00016419" w:rsidSect="00016419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3352C"/>
    <w:multiLevelType w:val="hybridMultilevel"/>
    <w:tmpl w:val="35CEA86E"/>
    <w:lvl w:ilvl="0" w:tplc="68DC1EDC">
      <w:start w:val="1"/>
      <w:numFmt w:val="decimal"/>
      <w:lvlText w:val="(%1)"/>
      <w:lvlJc w:val="left"/>
      <w:pPr>
        <w:ind w:left="720" w:hanging="360"/>
      </w:pPr>
      <w:rPr>
        <w:rFonts w:eastAsia="Calibri" w:cs="Calibri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122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419"/>
    <w:rsid w:val="00016419"/>
    <w:rsid w:val="00AB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E8996"/>
  <w15:chartTrackingRefBased/>
  <w15:docId w15:val="{9F37096B-A644-4371-9664-AF81603E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419"/>
  </w:style>
  <w:style w:type="paragraph" w:styleId="Heading1">
    <w:name w:val="heading 1"/>
    <w:basedOn w:val="Normal"/>
    <w:next w:val="Normal"/>
    <w:link w:val="Heading1Char"/>
    <w:uiPriority w:val="9"/>
    <w:qFormat/>
    <w:rsid w:val="00016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4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4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4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4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4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4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6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4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4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64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4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4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Olowosoke</dc:creator>
  <cp:keywords/>
  <dc:description/>
  <cp:lastModifiedBy>Christopher Olowosoke</cp:lastModifiedBy>
  <cp:revision>1</cp:revision>
  <dcterms:created xsi:type="dcterms:W3CDTF">2025-05-29T05:53:00Z</dcterms:created>
  <dcterms:modified xsi:type="dcterms:W3CDTF">2025-05-29T05:53:00Z</dcterms:modified>
</cp:coreProperties>
</file>