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0271F" w14:textId="735D8020" w:rsidR="00A673DC" w:rsidRDefault="00A673DC" w:rsidP="00A673DC">
      <w:pPr>
        <w:ind w:left="284" w:right="282"/>
        <w:jc w:val="center"/>
        <w:rPr>
          <w:rFonts w:ascii="Calibri" w:hAnsi="Calibri" w:cs="Calibri"/>
          <w:b/>
          <w:sz w:val="28"/>
          <w:szCs w:val="28"/>
          <w:lang w:val="en-GB"/>
        </w:rPr>
      </w:pPr>
      <w:r>
        <w:rPr>
          <w:rFonts w:ascii="Calibri" w:hAnsi="Calibri" w:cs="Calibri"/>
          <w:b/>
          <w:sz w:val="28"/>
          <w:szCs w:val="28"/>
          <w:lang w:val="en-GB"/>
        </w:rPr>
        <w:t xml:space="preserve">Targeting </w:t>
      </w:r>
      <w:r w:rsidR="00E7348E">
        <w:rPr>
          <w:rFonts w:ascii="Calibri" w:hAnsi="Calibri" w:cs="Calibri"/>
          <w:b/>
          <w:sz w:val="28"/>
          <w:szCs w:val="28"/>
          <w:lang w:val="en-GB"/>
        </w:rPr>
        <w:t>refractory</w:t>
      </w:r>
      <w:r w:rsidRPr="00A673DC">
        <w:rPr>
          <w:rFonts w:ascii="Calibri" w:hAnsi="Calibri" w:cs="Calibri"/>
          <w:b/>
          <w:sz w:val="28"/>
          <w:szCs w:val="28"/>
          <w:lang w:val="en-GB"/>
        </w:rPr>
        <w:t xml:space="preserve"> Acute Lymphoblastic Leukaemia </w:t>
      </w:r>
      <w:r>
        <w:rPr>
          <w:rFonts w:ascii="Calibri" w:hAnsi="Calibri" w:cs="Calibri"/>
          <w:b/>
          <w:sz w:val="28"/>
          <w:szCs w:val="28"/>
          <w:lang w:val="en-GB"/>
        </w:rPr>
        <w:t xml:space="preserve">– Drug repurposing with </w:t>
      </w:r>
      <w:r w:rsidRPr="00A673DC">
        <w:rPr>
          <w:rFonts w:ascii="Calibri" w:hAnsi="Calibri" w:cs="Calibri"/>
          <w:b/>
          <w:sz w:val="28"/>
          <w:szCs w:val="28"/>
          <w:lang w:val="en-GB"/>
        </w:rPr>
        <w:t xml:space="preserve">combinatorial </w:t>
      </w:r>
      <w:r>
        <w:rPr>
          <w:rFonts w:ascii="Calibri" w:hAnsi="Calibri" w:cs="Calibri"/>
          <w:b/>
          <w:sz w:val="28"/>
          <w:szCs w:val="28"/>
          <w:lang w:val="en-GB"/>
        </w:rPr>
        <w:t>b</w:t>
      </w:r>
      <w:r w:rsidRPr="00A673DC">
        <w:rPr>
          <w:rFonts w:ascii="Calibri" w:hAnsi="Calibri" w:cs="Calibri"/>
          <w:b/>
          <w:sz w:val="28"/>
          <w:szCs w:val="28"/>
          <w:lang w:val="en-GB"/>
        </w:rPr>
        <w:t xml:space="preserve">ispecific </w:t>
      </w:r>
      <w:r>
        <w:rPr>
          <w:rFonts w:ascii="Calibri" w:hAnsi="Calibri" w:cs="Calibri"/>
          <w:b/>
          <w:sz w:val="28"/>
          <w:szCs w:val="28"/>
          <w:lang w:val="en-GB"/>
        </w:rPr>
        <w:t>antibodies</w:t>
      </w:r>
    </w:p>
    <w:p w14:paraId="77F92669" w14:textId="77777777" w:rsidR="003E061C" w:rsidRPr="00A673DC" w:rsidRDefault="003E061C" w:rsidP="00A673DC">
      <w:pPr>
        <w:ind w:left="284" w:right="282"/>
        <w:jc w:val="center"/>
        <w:rPr>
          <w:rFonts w:ascii="Calibri" w:hAnsi="Calibri" w:cs="Calibri"/>
          <w:b/>
          <w:sz w:val="28"/>
          <w:szCs w:val="28"/>
          <w:lang w:val="en-GB"/>
        </w:rPr>
      </w:pPr>
    </w:p>
    <w:p w14:paraId="1B5C5F17" w14:textId="3FA6F332" w:rsidR="00A673DC" w:rsidRPr="00A673DC" w:rsidRDefault="00A673DC" w:rsidP="00A673DC">
      <w:pPr>
        <w:ind w:left="284" w:right="282"/>
        <w:jc w:val="center"/>
        <w:rPr>
          <w:rFonts w:ascii="Calibri" w:hAnsi="Calibri" w:cs="Calibri"/>
          <w:i/>
          <w:lang w:val="en-GB"/>
        </w:rPr>
      </w:pPr>
      <w:r w:rsidRPr="00A673DC">
        <w:rPr>
          <w:rFonts w:ascii="Calibri" w:hAnsi="Calibri" w:cs="Calibri"/>
          <w:i/>
          <w:lang w:val="es-ES_tradnl"/>
        </w:rPr>
        <w:t xml:space="preserve">Ernest </w:t>
      </w:r>
      <w:proofErr w:type="spellStart"/>
      <w:proofErr w:type="gramStart"/>
      <w:r w:rsidRPr="00A673DC">
        <w:rPr>
          <w:rFonts w:ascii="Calibri" w:hAnsi="Calibri" w:cs="Calibri"/>
          <w:i/>
          <w:lang w:val="es-ES_tradnl"/>
        </w:rPr>
        <w:t>Moles</w:t>
      </w:r>
      <w:r w:rsidR="003E061C">
        <w:rPr>
          <w:rFonts w:ascii="Calibri" w:hAnsi="Calibri" w:cs="Calibri"/>
          <w:i/>
          <w:vertAlign w:val="superscript"/>
          <w:lang w:val="es-ES_tradnl"/>
        </w:rPr>
        <w:t>A,B</w:t>
      </w:r>
      <w:proofErr w:type="gramEnd"/>
      <w:r w:rsidR="003E061C">
        <w:rPr>
          <w:rFonts w:ascii="Calibri" w:hAnsi="Calibri" w:cs="Calibri"/>
          <w:i/>
          <w:vertAlign w:val="superscript"/>
          <w:lang w:val="es-ES_tradnl"/>
        </w:rPr>
        <w:t>,C</w:t>
      </w:r>
      <w:proofErr w:type="spellEnd"/>
      <w:r w:rsidRPr="00A673DC">
        <w:rPr>
          <w:rFonts w:ascii="Calibri" w:hAnsi="Calibri" w:cs="Calibri"/>
          <w:i/>
          <w:lang w:val="es-ES_tradnl"/>
        </w:rPr>
        <w:t xml:space="preserve">, Christopher B. </w:t>
      </w:r>
      <w:proofErr w:type="spellStart"/>
      <w:r w:rsidRPr="00A673DC">
        <w:rPr>
          <w:rFonts w:ascii="Calibri" w:hAnsi="Calibri" w:cs="Calibri"/>
          <w:i/>
          <w:lang w:val="es-ES_tradnl"/>
        </w:rPr>
        <w:t>Howard</w:t>
      </w:r>
      <w:r w:rsidR="003E061C">
        <w:rPr>
          <w:rFonts w:ascii="Calibri" w:hAnsi="Calibri" w:cs="Calibri"/>
          <w:i/>
          <w:vertAlign w:val="superscript"/>
          <w:lang w:val="es-ES_tradnl"/>
        </w:rPr>
        <w:t>D,E,F</w:t>
      </w:r>
      <w:proofErr w:type="spellEnd"/>
      <w:r w:rsidRPr="00A673DC">
        <w:rPr>
          <w:rFonts w:ascii="Calibri" w:hAnsi="Calibri" w:cs="Calibri"/>
          <w:i/>
          <w:lang w:val="es-ES_tradnl"/>
        </w:rPr>
        <w:t xml:space="preserve">, </w:t>
      </w:r>
      <w:proofErr w:type="spellStart"/>
      <w:r w:rsidRPr="00A673DC">
        <w:rPr>
          <w:rFonts w:ascii="Calibri" w:hAnsi="Calibri" w:cs="Calibri"/>
          <w:i/>
          <w:lang w:val="es-ES_tradnl"/>
        </w:rPr>
        <w:t>Kris</w:t>
      </w:r>
      <w:proofErr w:type="spellEnd"/>
      <w:r w:rsidRPr="00A673DC">
        <w:rPr>
          <w:rFonts w:ascii="Calibri" w:hAnsi="Calibri" w:cs="Calibri"/>
          <w:i/>
          <w:lang w:val="es-ES_tradnl"/>
        </w:rPr>
        <w:t xml:space="preserve"> </w:t>
      </w:r>
      <w:proofErr w:type="spellStart"/>
      <w:r w:rsidRPr="00A673DC">
        <w:rPr>
          <w:rFonts w:ascii="Calibri" w:hAnsi="Calibri" w:cs="Calibri"/>
          <w:i/>
          <w:lang w:val="es-ES_tradnl"/>
        </w:rPr>
        <w:t>Thurecht</w:t>
      </w:r>
      <w:r w:rsidR="003E061C">
        <w:rPr>
          <w:rFonts w:ascii="Calibri" w:hAnsi="Calibri" w:cs="Calibri"/>
          <w:i/>
          <w:vertAlign w:val="superscript"/>
          <w:lang w:val="es-ES_tradnl"/>
        </w:rPr>
        <w:t>D,E,F</w:t>
      </w:r>
      <w:proofErr w:type="spellEnd"/>
      <w:r w:rsidRPr="00A673DC">
        <w:rPr>
          <w:rFonts w:ascii="Calibri" w:hAnsi="Calibri" w:cs="Calibri"/>
          <w:i/>
          <w:lang w:val="es-ES_tradnl"/>
        </w:rPr>
        <w:t xml:space="preserve">, </w:t>
      </w:r>
      <w:bookmarkStart w:id="0" w:name="_GoBack"/>
      <w:r w:rsidRPr="00A673DC">
        <w:rPr>
          <w:rFonts w:ascii="Calibri" w:hAnsi="Calibri" w:cs="Calibri"/>
          <w:i/>
          <w:lang w:val="es-ES_tradnl"/>
        </w:rPr>
        <w:t xml:space="preserve">Maria </w:t>
      </w:r>
      <w:proofErr w:type="spellStart"/>
      <w:r w:rsidRPr="00A673DC">
        <w:rPr>
          <w:rFonts w:ascii="Calibri" w:hAnsi="Calibri" w:cs="Calibri"/>
          <w:i/>
          <w:lang w:val="es-ES_tradnl"/>
        </w:rPr>
        <w:t>Kavallaris</w:t>
      </w:r>
      <w:r w:rsidR="003E061C">
        <w:rPr>
          <w:rFonts w:ascii="Calibri" w:hAnsi="Calibri" w:cs="Calibri"/>
          <w:i/>
          <w:vertAlign w:val="superscript"/>
          <w:lang w:val="es-ES_tradnl"/>
        </w:rPr>
        <w:t>A</w:t>
      </w:r>
      <w:bookmarkEnd w:id="0"/>
      <w:r w:rsidR="003E061C">
        <w:rPr>
          <w:rFonts w:ascii="Calibri" w:hAnsi="Calibri" w:cs="Calibri"/>
          <w:i/>
          <w:vertAlign w:val="superscript"/>
          <w:lang w:val="es-ES_tradnl"/>
        </w:rPr>
        <w:t>,B,C</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5C1B37C9" w14:textId="5FCB29AF" w:rsidR="00A673DC" w:rsidRPr="00A673DC" w:rsidRDefault="003E061C" w:rsidP="00A673DC">
      <w:pPr>
        <w:jc w:val="center"/>
        <w:rPr>
          <w:rFonts w:asciiTheme="minorHAnsi" w:hAnsiTheme="minorHAnsi" w:cstheme="minorHAnsi"/>
          <w:sz w:val="22"/>
          <w:szCs w:val="22"/>
        </w:rPr>
      </w:pPr>
      <w:proofErr w:type="spellStart"/>
      <w:r>
        <w:rPr>
          <w:rFonts w:asciiTheme="minorHAnsi" w:hAnsiTheme="minorHAnsi" w:cstheme="minorHAnsi"/>
          <w:sz w:val="22"/>
          <w:szCs w:val="22"/>
          <w:vertAlign w:val="superscript"/>
        </w:rPr>
        <w:t>A</w:t>
      </w:r>
      <w:r w:rsidR="00A673DC" w:rsidRPr="00A673DC">
        <w:rPr>
          <w:rFonts w:asciiTheme="minorHAnsi" w:hAnsiTheme="minorHAnsi" w:cstheme="minorHAnsi"/>
          <w:sz w:val="22"/>
          <w:szCs w:val="22"/>
        </w:rPr>
        <w:t>Children’s</w:t>
      </w:r>
      <w:proofErr w:type="spellEnd"/>
      <w:r w:rsidR="00A673DC" w:rsidRPr="00A673DC">
        <w:rPr>
          <w:rFonts w:asciiTheme="minorHAnsi" w:hAnsiTheme="minorHAnsi" w:cstheme="minorHAnsi"/>
          <w:sz w:val="22"/>
          <w:szCs w:val="22"/>
        </w:rPr>
        <w:t xml:space="preserve"> Cancer Institute, </w:t>
      </w:r>
      <w:r w:rsidR="007E22FB">
        <w:rPr>
          <w:rFonts w:asciiTheme="minorHAnsi" w:hAnsiTheme="minorHAnsi" w:cstheme="minorHAnsi"/>
          <w:sz w:val="22"/>
          <w:szCs w:val="22"/>
        </w:rPr>
        <w:t xml:space="preserve">UNSW </w:t>
      </w:r>
      <w:r w:rsidR="007E22FB" w:rsidRPr="00A673DC">
        <w:rPr>
          <w:rFonts w:asciiTheme="minorHAnsi" w:hAnsiTheme="minorHAnsi" w:cstheme="minorHAnsi"/>
          <w:sz w:val="22"/>
          <w:szCs w:val="22"/>
        </w:rPr>
        <w:t xml:space="preserve">Sydney, </w:t>
      </w:r>
      <w:r w:rsidR="007E22FB">
        <w:rPr>
          <w:rFonts w:asciiTheme="minorHAnsi" w:hAnsiTheme="minorHAnsi" w:cstheme="minorHAnsi"/>
          <w:sz w:val="22"/>
          <w:szCs w:val="22"/>
        </w:rPr>
        <w:t>NSW</w:t>
      </w:r>
      <w:r w:rsidR="00A673DC" w:rsidRPr="00A673DC">
        <w:rPr>
          <w:rFonts w:asciiTheme="minorHAnsi" w:hAnsiTheme="minorHAnsi" w:cstheme="minorHAnsi"/>
          <w:sz w:val="22"/>
          <w:szCs w:val="22"/>
        </w:rPr>
        <w:t>, Australia</w:t>
      </w:r>
      <w:r w:rsidR="00A673DC">
        <w:rPr>
          <w:rFonts w:asciiTheme="minorHAnsi" w:hAnsiTheme="minorHAnsi" w:cstheme="minorHAnsi"/>
          <w:sz w:val="22"/>
          <w:szCs w:val="22"/>
        </w:rPr>
        <w:t xml:space="preserve">; </w:t>
      </w:r>
      <w:r>
        <w:rPr>
          <w:rFonts w:asciiTheme="minorHAnsi" w:hAnsiTheme="minorHAnsi" w:cstheme="minorHAnsi"/>
          <w:sz w:val="22"/>
          <w:szCs w:val="22"/>
          <w:vertAlign w:val="superscript"/>
        </w:rPr>
        <w:t>B</w:t>
      </w:r>
      <w:r w:rsidR="00A673DC" w:rsidRPr="00A673DC">
        <w:rPr>
          <w:rFonts w:asciiTheme="minorHAnsi" w:hAnsiTheme="minorHAnsi" w:cstheme="minorHAnsi"/>
          <w:sz w:val="22"/>
          <w:szCs w:val="22"/>
        </w:rPr>
        <w:t xml:space="preserve">ARC Centre of Excellence in Convergent Bio-Nano Science and Technology and Australian Centre for Nanomedicine, </w:t>
      </w:r>
      <w:r w:rsidR="007E22FB">
        <w:rPr>
          <w:rFonts w:asciiTheme="minorHAnsi" w:hAnsiTheme="minorHAnsi" w:cstheme="minorHAnsi"/>
          <w:sz w:val="22"/>
          <w:szCs w:val="22"/>
        </w:rPr>
        <w:t xml:space="preserve">UNSW </w:t>
      </w:r>
      <w:r w:rsidR="00A673DC" w:rsidRPr="00A673DC">
        <w:rPr>
          <w:rFonts w:asciiTheme="minorHAnsi" w:hAnsiTheme="minorHAnsi" w:cstheme="minorHAnsi"/>
          <w:sz w:val="22"/>
          <w:szCs w:val="22"/>
        </w:rPr>
        <w:t xml:space="preserve">Sydney, </w:t>
      </w:r>
      <w:r w:rsidR="007E22FB">
        <w:rPr>
          <w:rFonts w:asciiTheme="minorHAnsi" w:hAnsiTheme="minorHAnsi" w:cstheme="minorHAnsi"/>
          <w:sz w:val="22"/>
          <w:szCs w:val="22"/>
        </w:rPr>
        <w:t>NSW</w:t>
      </w:r>
      <w:r w:rsidR="00A673DC" w:rsidRPr="00A673DC">
        <w:rPr>
          <w:rFonts w:asciiTheme="minorHAnsi" w:hAnsiTheme="minorHAnsi" w:cstheme="minorHAnsi"/>
          <w:sz w:val="22"/>
          <w:szCs w:val="22"/>
        </w:rPr>
        <w:t xml:space="preserve">, Australia;   </w:t>
      </w:r>
      <w:proofErr w:type="spellStart"/>
      <w:r>
        <w:rPr>
          <w:rFonts w:asciiTheme="minorHAnsi" w:hAnsiTheme="minorHAnsi" w:cstheme="minorHAnsi"/>
          <w:sz w:val="22"/>
          <w:szCs w:val="22"/>
          <w:vertAlign w:val="superscript"/>
        </w:rPr>
        <w:t>C</w:t>
      </w:r>
      <w:r w:rsidR="00A673DC" w:rsidRPr="00A673DC">
        <w:rPr>
          <w:rFonts w:asciiTheme="minorHAnsi" w:hAnsiTheme="minorHAnsi" w:cstheme="minorHAnsi"/>
          <w:sz w:val="22"/>
          <w:szCs w:val="22"/>
        </w:rPr>
        <w:t>School</w:t>
      </w:r>
      <w:proofErr w:type="spellEnd"/>
      <w:r w:rsidR="00A673DC" w:rsidRPr="00A673DC">
        <w:rPr>
          <w:rFonts w:asciiTheme="minorHAnsi" w:hAnsiTheme="minorHAnsi" w:cstheme="minorHAnsi"/>
          <w:sz w:val="22"/>
          <w:szCs w:val="22"/>
        </w:rPr>
        <w:t xml:space="preserve"> of Women’s and Children’s Health, </w:t>
      </w:r>
      <w:r w:rsidR="007E22FB">
        <w:rPr>
          <w:rFonts w:asciiTheme="minorHAnsi" w:hAnsiTheme="minorHAnsi" w:cstheme="minorHAnsi"/>
          <w:sz w:val="22"/>
          <w:szCs w:val="22"/>
        </w:rPr>
        <w:t xml:space="preserve">UNSW </w:t>
      </w:r>
      <w:r w:rsidR="007E22FB" w:rsidRPr="00A673DC">
        <w:rPr>
          <w:rFonts w:asciiTheme="minorHAnsi" w:hAnsiTheme="minorHAnsi" w:cstheme="minorHAnsi"/>
          <w:sz w:val="22"/>
          <w:szCs w:val="22"/>
        </w:rPr>
        <w:t xml:space="preserve">Sydney, </w:t>
      </w:r>
      <w:r w:rsidR="007E22FB">
        <w:rPr>
          <w:rFonts w:asciiTheme="minorHAnsi" w:hAnsiTheme="minorHAnsi" w:cstheme="minorHAnsi"/>
          <w:sz w:val="22"/>
          <w:szCs w:val="22"/>
        </w:rPr>
        <w:t>NSW</w:t>
      </w:r>
      <w:r w:rsidR="007E22FB" w:rsidRPr="00A673DC">
        <w:rPr>
          <w:rFonts w:asciiTheme="minorHAnsi" w:hAnsiTheme="minorHAnsi" w:cstheme="minorHAnsi"/>
          <w:sz w:val="22"/>
          <w:szCs w:val="22"/>
        </w:rPr>
        <w:t xml:space="preserve">, </w:t>
      </w:r>
      <w:r w:rsidR="00A673DC" w:rsidRPr="00A673DC">
        <w:rPr>
          <w:rFonts w:asciiTheme="minorHAnsi" w:hAnsiTheme="minorHAnsi" w:cstheme="minorHAnsi"/>
          <w:sz w:val="22"/>
          <w:szCs w:val="22"/>
        </w:rPr>
        <w:t xml:space="preserve">Australia; </w:t>
      </w:r>
      <w:proofErr w:type="spellStart"/>
      <w:r>
        <w:rPr>
          <w:rFonts w:asciiTheme="minorHAnsi" w:hAnsiTheme="minorHAnsi" w:cstheme="minorHAnsi"/>
          <w:sz w:val="22"/>
          <w:szCs w:val="22"/>
          <w:vertAlign w:val="superscript"/>
        </w:rPr>
        <w:t>D</w:t>
      </w:r>
      <w:r w:rsidR="00A673DC" w:rsidRPr="00A673DC">
        <w:rPr>
          <w:rFonts w:asciiTheme="minorHAnsi" w:hAnsiTheme="minorHAnsi" w:cstheme="minorHAnsi"/>
          <w:sz w:val="22"/>
          <w:szCs w:val="22"/>
        </w:rPr>
        <w:t>Australian</w:t>
      </w:r>
      <w:proofErr w:type="spellEnd"/>
      <w:r w:rsidR="00A673DC" w:rsidRPr="00A673DC">
        <w:rPr>
          <w:rFonts w:asciiTheme="minorHAnsi" w:hAnsiTheme="minorHAnsi" w:cstheme="minorHAnsi"/>
          <w:sz w:val="22"/>
          <w:szCs w:val="22"/>
        </w:rPr>
        <w:t xml:space="preserve"> Institute for Bioengineering and Nanotechnology, The University of Queensland, St Lucia, QLD, Australia; </w:t>
      </w:r>
      <w:proofErr w:type="spellStart"/>
      <w:r>
        <w:rPr>
          <w:rFonts w:asciiTheme="minorHAnsi" w:hAnsiTheme="minorHAnsi" w:cstheme="minorHAnsi"/>
          <w:sz w:val="22"/>
          <w:szCs w:val="22"/>
          <w:vertAlign w:val="superscript"/>
        </w:rPr>
        <w:t>E</w:t>
      </w:r>
      <w:r w:rsidR="00A673DC" w:rsidRPr="00A673DC">
        <w:rPr>
          <w:rFonts w:asciiTheme="minorHAnsi" w:hAnsiTheme="minorHAnsi" w:cstheme="minorHAnsi"/>
          <w:sz w:val="22"/>
          <w:szCs w:val="22"/>
        </w:rPr>
        <w:t>Centre</w:t>
      </w:r>
      <w:proofErr w:type="spellEnd"/>
      <w:r w:rsidR="00A673DC" w:rsidRPr="00A673DC">
        <w:rPr>
          <w:rFonts w:asciiTheme="minorHAnsi" w:hAnsiTheme="minorHAnsi" w:cstheme="minorHAnsi"/>
          <w:sz w:val="22"/>
          <w:szCs w:val="22"/>
        </w:rPr>
        <w:t xml:space="preserve"> for Advanced Imaging, The University of Queensland, St Lucia, QLD, Australia; </w:t>
      </w:r>
      <w:r>
        <w:rPr>
          <w:rFonts w:asciiTheme="minorHAnsi" w:hAnsiTheme="minorHAnsi" w:cstheme="minorHAnsi"/>
          <w:sz w:val="22"/>
          <w:szCs w:val="22"/>
          <w:vertAlign w:val="superscript"/>
        </w:rPr>
        <w:t>F</w:t>
      </w:r>
      <w:r w:rsidR="00A673DC" w:rsidRPr="00A673DC">
        <w:rPr>
          <w:rFonts w:asciiTheme="minorHAnsi" w:hAnsiTheme="minorHAnsi" w:cstheme="minorHAnsi"/>
          <w:sz w:val="22"/>
          <w:szCs w:val="22"/>
        </w:rPr>
        <w:t xml:space="preserve">ARC Centre of Excellence in Convergent </w:t>
      </w:r>
      <w:proofErr w:type="spellStart"/>
      <w:r w:rsidR="00A673DC" w:rsidRPr="00A673DC">
        <w:rPr>
          <w:rFonts w:asciiTheme="minorHAnsi" w:hAnsiTheme="minorHAnsi" w:cstheme="minorHAnsi"/>
          <w:sz w:val="22"/>
          <w:szCs w:val="22"/>
        </w:rPr>
        <w:t>BioNano</w:t>
      </w:r>
      <w:proofErr w:type="spellEnd"/>
      <w:r w:rsidR="00A673DC" w:rsidRPr="00A673DC">
        <w:rPr>
          <w:rFonts w:asciiTheme="minorHAnsi" w:hAnsiTheme="minorHAnsi" w:cstheme="minorHAnsi"/>
          <w:sz w:val="22"/>
          <w:szCs w:val="22"/>
        </w:rPr>
        <w:t xml:space="preserve"> Science and Technology, The University of Queensland, St Lucia, QLD, Australia.</w:t>
      </w:r>
    </w:p>
    <w:p w14:paraId="05E17889" w14:textId="055363D2" w:rsidR="00711813" w:rsidRPr="006B3866" w:rsidRDefault="00711813" w:rsidP="009A4CFF">
      <w:pPr>
        <w:pStyle w:val="Default"/>
        <w:ind w:left="284" w:right="282"/>
        <w:jc w:val="both"/>
        <w:rPr>
          <w:color w:val="auto"/>
          <w:sz w:val="22"/>
          <w:szCs w:val="22"/>
          <w:lang w:val="en-AU"/>
        </w:rPr>
      </w:pPr>
    </w:p>
    <w:p w14:paraId="766DA9A5" w14:textId="60863F4C" w:rsidR="004E5450" w:rsidRDefault="004E5450" w:rsidP="009A4CFF">
      <w:pPr>
        <w:ind w:left="284" w:right="282"/>
        <w:jc w:val="both"/>
        <w:rPr>
          <w:rFonts w:ascii="Calibri" w:hAnsi="Calibri" w:cs="Calibri"/>
          <w:sz w:val="22"/>
          <w:szCs w:val="22"/>
          <w:lang w:val="en-AU"/>
        </w:rPr>
      </w:pPr>
    </w:p>
    <w:p w14:paraId="1157EF3D" w14:textId="65E111AA" w:rsidR="00571399" w:rsidRDefault="00254C82" w:rsidP="00571399">
      <w:pPr>
        <w:ind w:left="284" w:right="282"/>
        <w:jc w:val="both"/>
        <w:rPr>
          <w:rFonts w:ascii="Calibri" w:hAnsi="Calibri" w:cs="Calibri"/>
          <w:sz w:val="22"/>
          <w:szCs w:val="22"/>
          <w:lang w:val="en-GB"/>
        </w:rPr>
      </w:pPr>
      <w:r>
        <w:rPr>
          <w:rFonts w:ascii="Calibri" w:hAnsi="Calibri" w:cs="Calibri"/>
          <w:sz w:val="22"/>
          <w:szCs w:val="22"/>
          <w:lang w:val="en-GB"/>
        </w:rPr>
        <w:t xml:space="preserve">Acute lymphoblastic leukaemia (ALL) is the most common childhood cancer. Advances in treatment </w:t>
      </w:r>
      <w:r w:rsidR="004A68AD">
        <w:rPr>
          <w:rFonts w:ascii="Calibri" w:hAnsi="Calibri" w:cs="Calibri"/>
          <w:sz w:val="22"/>
          <w:szCs w:val="22"/>
          <w:lang w:val="en-GB"/>
        </w:rPr>
        <w:t>has led to</w:t>
      </w:r>
      <w:r>
        <w:rPr>
          <w:rFonts w:ascii="Calibri" w:hAnsi="Calibri" w:cs="Calibri"/>
          <w:sz w:val="22"/>
          <w:szCs w:val="22"/>
          <w:lang w:val="en-GB"/>
        </w:rPr>
        <w:t xml:space="preserve"> the majority of patients surviv</w:t>
      </w:r>
      <w:r w:rsidR="004A68AD">
        <w:rPr>
          <w:rFonts w:ascii="Calibri" w:hAnsi="Calibri" w:cs="Calibri"/>
          <w:sz w:val="22"/>
          <w:szCs w:val="22"/>
          <w:lang w:val="en-GB"/>
        </w:rPr>
        <w:t>ing</w:t>
      </w:r>
      <w:r>
        <w:rPr>
          <w:rFonts w:ascii="Calibri" w:hAnsi="Calibri" w:cs="Calibri"/>
          <w:sz w:val="22"/>
          <w:szCs w:val="22"/>
          <w:lang w:val="en-GB"/>
        </w:rPr>
        <w:t xml:space="preserve"> their disease. However, children with drug-refractory or resistant </w:t>
      </w:r>
      <w:r w:rsidR="0005789F">
        <w:rPr>
          <w:rFonts w:ascii="Calibri" w:hAnsi="Calibri" w:cs="Calibri"/>
          <w:sz w:val="22"/>
          <w:szCs w:val="22"/>
          <w:lang w:val="en-GB"/>
        </w:rPr>
        <w:t>ALL</w:t>
      </w:r>
      <w:r>
        <w:rPr>
          <w:rFonts w:ascii="Calibri" w:hAnsi="Calibri" w:cs="Calibri"/>
          <w:sz w:val="22"/>
          <w:szCs w:val="22"/>
          <w:lang w:val="en-GB"/>
        </w:rPr>
        <w:t xml:space="preserve"> are difficult to cure</w:t>
      </w:r>
      <w:r w:rsidR="0005789F">
        <w:rPr>
          <w:rFonts w:ascii="Calibri" w:hAnsi="Calibri" w:cs="Calibri"/>
          <w:sz w:val="22"/>
          <w:szCs w:val="22"/>
          <w:lang w:val="en-GB"/>
        </w:rPr>
        <w:t>,</w:t>
      </w:r>
      <w:r>
        <w:rPr>
          <w:rFonts w:ascii="Calibri" w:hAnsi="Calibri" w:cs="Calibri"/>
          <w:sz w:val="22"/>
          <w:szCs w:val="22"/>
          <w:lang w:val="en-GB"/>
        </w:rPr>
        <w:t xml:space="preserve"> and survivors frequently experience life-long health issues as a result of high dose chemotherapy. Effective and less toxic therapies for this subgroup of ALL patients is urgently needed. </w:t>
      </w:r>
    </w:p>
    <w:p w14:paraId="2F012AC0" w14:textId="77777777" w:rsidR="00571399" w:rsidRDefault="00571399" w:rsidP="00571399">
      <w:pPr>
        <w:ind w:left="284" w:right="282"/>
        <w:jc w:val="both"/>
        <w:rPr>
          <w:rFonts w:ascii="Calibri" w:hAnsi="Calibri" w:cs="Calibri"/>
          <w:sz w:val="22"/>
          <w:szCs w:val="22"/>
          <w:lang w:val="en-GB"/>
        </w:rPr>
      </w:pPr>
    </w:p>
    <w:p w14:paraId="30571833" w14:textId="6980BAE7" w:rsidR="00571399" w:rsidRDefault="00254C82" w:rsidP="00254C82">
      <w:pPr>
        <w:ind w:left="284" w:right="282"/>
        <w:jc w:val="both"/>
        <w:rPr>
          <w:rFonts w:ascii="Calibri" w:hAnsi="Calibri" w:cs="Calibri"/>
          <w:sz w:val="22"/>
          <w:szCs w:val="22"/>
          <w:lang w:val="en-GB"/>
        </w:rPr>
      </w:pPr>
      <w:r w:rsidRPr="00254C82">
        <w:rPr>
          <w:rFonts w:ascii="Calibri" w:hAnsi="Calibri" w:cs="Calibri"/>
          <w:sz w:val="22"/>
          <w:szCs w:val="22"/>
          <w:lang w:val="en-GB"/>
        </w:rPr>
        <w:t>Here</w:t>
      </w:r>
      <w:r>
        <w:rPr>
          <w:rFonts w:ascii="Calibri" w:hAnsi="Calibri" w:cs="Calibri"/>
          <w:sz w:val="22"/>
          <w:szCs w:val="22"/>
          <w:lang w:val="en-GB"/>
        </w:rPr>
        <w:t xml:space="preserve"> in, we developed an approach to repurpose a clinically approved anti-cancer liposomal drug, </w:t>
      </w:r>
      <w:proofErr w:type="spellStart"/>
      <w:r w:rsidRPr="00254C82">
        <w:rPr>
          <w:rFonts w:ascii="Calibri" w:hAnsi="Calibri" w:cs="Calibri"/>
          <w:sz w:val="22"/>
          <w:szCs w:val="22"/>
          <w:lang w:val="en-GB"/>
        </w:rPr>
        <w:t>Doxil</w:t>
      </w:r>
      <w:proofErr w:type="spellEnd"/>
      <w:r w:rsidRPr="00254C82">
        <w:rPr>
          <w:rFonts w:ascii="Calibri" w:hAnsi="Calibri" w:cs="Calibri"/>
          <w:sz w:val="22"/>
          <w:szCs w:val="22"/>
          <w:lang w:val="en-GB"/>
        </w:rPr>
        <w:t>®</w:t>
      </w:r>
      <w:r>
        <w:rPr>
          <w:rFonts w:ascii="Calibri" w:hAnsi="Calibri" w:cs="Calibri"/>
          <w:sz w:val="22"/>
          <w:szCs w:val="22"/>
          <w:lang w:val="en-GB"/>
        </w:rPr>
        <w:t xml:space="preserve"> by attaching bispecific antibodies that recognise the ALL cells. </w:t>
      </w:r>
      <w:r w:rsidRPr="00254C82">
        <w:rPr>
          <w:rFonts w:ascii="Calibri" w:hAnsi="Calibri" w:cs="Calibri"/>
          <w:sz w:val="22"/>
          <w:szCs w:val="22"/>
          <w:lang w:val="en-GB"/>
        </w:rPr>
        <w:t>Acute Lymphoblastic Leukaemia is caused by an overproduction of defective B</w:t>
      </w:r>
      <w:r w:rsidR="00571399">
        <w:rPr>
          <w:rFonts w:ascii="Calibri" w:hAnsi="Calibri" w:cs="Calibri"/>
          <w:sz w:val="22"/>
          <w:szCs w:val="22"/>
          <w:lang w:val="en-GB"/>
        </w:rPr>
        <w:t xml:space="preserve"> or T</w:t>
      </w:r>
      <w:r w:rsidRPr="00254C82">
        <w:rPr>
          <w:rFonts w:ascii="Calibri" w:hAnsi="Calibri" w:cs="Calibri"/>
          <w:sz w:val="22"/>
          <w:szCs w:val="22"/>
          <w:lang w:val="en-GB"/>
        </w:rPr>
        <w:t xml:space="preserve"> cell precursors (pre-B </w:t>
      </w:r>
      <w:r>
        <w:rPr>
          <w:rFonts w:ascii="Calibri" w:hAnsi="Calibri" w:cs="Calibri"/>
          <w:sz w:val="22"/>
          <w:szCs w:val="22"/>
          <w:lang w:val="en-GB"/>
        </w:rPr>
        <w:t xml:space="preserve">or </w:t>
      </w:r>
      <w:proofErr w:type="gramStart"/>
      <w:r>
        <w:rPr>
          <w:rFonts w:ascii="Calibri" w:hAnsi="Calibri" w:cs="Calibri"/>
          <w:sz w:val="22"/>
          <w:szCs w:val="22"/>
          <w:lang w:val="en-GB"/>
        </w:rPr>
        <w:t>pre T</w:t>
      </w:r>
      <w:proofErr w:type="gramEnd"/>
      <w:r>
        <w:rPr>
          <w:rFonts w:ascii="Calibri" w:hAnsi="Calibri" w:cs="Calibri"/>
          <w:sz w:val="22"/>
          <w:szCs w:val="22"/>
          <w:lang w:val="en-GB"/>
        </w:rPr>
        <w:t xml:space="preserve"> </w:t>
      </w:r>
      <w:r w:rsidRPr="00254C82">
        <w:rPr>
          <w:rFonts w:ascii="Calibri" w:hAnsi="Calibri" w:cs="Calibri"/>
          <w:sz w:val="22"/>
          <w:szCs w:val="22"/>
          <w:lang w:val="en-GB"/>
        </w:rPr>
        <w:t>ALL</w:t>
      </w:r>
      <w:r>
        <w:rPr>
          <w:rFonts w:ascii="Calibri" w:hAnsi="Calibri" w:cs="Calibri"/>
          <w:sz w:val="22"/>
          <w:szCs w:val="22"/>
          <w:lang w:val="en-GB"/>
        </w:rPr>
        <w:t xml:space="preserve"> cells</w:t>
      </w:r>
      <w:r w:rsidRPr="00254C82">
        <w:rPr>
          <w:rFonts w:ascii="Calibri" w:hAnsi="Calibri" w:cs="Calibri"/>
          <w:sz w:val="22"/>
          <w:szCs w:val="22"/>
          <w:lang w:val="en-GB"/>
        </w:rPr>
        <w:t xml:space="preserve">), which accumulate in </w:t>
      </w:r>
      <w:r>
        <w:rPr>
          <w:rFonts w:ascii="Calibri" w:hAnsi="Calibri" w:cs="Calibri"/>
          <w:sz w:val="22"/>
          <w:szCs w:val="22"/>
          <w:lang w:val="en-GB"/>
        </w:rPr>
        <w:t xml:space="preserve">the </w:t>
      </w:r>
      <w:r w:rsidRPr="00254C82">
        <w:rPr>
          <w:rFonts w:ascii="Calibri" w:hAnsi="Calibri" w:cs="Calibri"/>
          <w:sz w:val="22"/>
          <w:szCs w:val="22"/>
          <w:lang w:val="en-GB"/>
        </w:rPr>
        <w:t>circulation and the major haematopoietic organs</w:t>
      </w:r>
      <w:r w:rsidR="00571399">
        <w:rPr>
          <w:rFonts w:ascii="Calibri" w:hAnsi="Calibri" w:cs="Calibri"/>
          <w:sz w:val="22"/>
          <w:szCs w:val="22"/>
          <w:lang w:val="en-GB"/>
        </w:rPr>
        <w:t xml:space="preserve">. </w:t>
      </w:r>
      <w:r w:rsidRPr="00254C82">
        <w:rPr>
          <w:rFonts w:ascii="Calibri" w:hAnsi="Calibri" w:cs="Calibri"/>
          <w:sz w:val="22"/>
          <w:szCs w:val="22"/>
          <w:lang w:val="en-GB"/>
        </w:rPr>
        <w:t xml:space="preserve"> </w:t>
      </w:r>
      <w:r w:rsidR="00571399">
        <w:rPr>
          <w:rFonts w:ascii="Calibri" w:hAnsi="Calibri" w:cs="Calibri"/>
          <w:sz w:val="22"/>
          <w:szCs w:val="22"/>
          <w:lang w:val="en-GB"/>
        </w:rPr>
        <w:t>ALL is</w:t>
      </w:r>
      <w:r w:rsidRPr="00254C82">
        <w:rPr>
          <w:rFonts w:ascii="Calibri" w:hAnsi="Calibri" w:cs="Calibri"/>
          <w:sz w:val="22"/>
          <w:szCs w:val="22"/>
          <w:lang w:val="en-GB"/>
        </w:rPr>
        <w:t xml:space="preserve"> the second </w:t>
      </w:r>
      <w:r w:rsidR="00571399">
        <w:rPr>
          <w:rFonts w:ascii="Calibri" w:hAnsi="Calibri" w:cs="Calibri"/>
          <w:sz w:val="22"/>
          <w:szCs w:val="22"/>
          <w:lang w:val="en-GB"/>
        </w:rPr>
        <w:t xml:space="preserve">leading </w:t>
      </w:r>
      <w:r w:rsidRPr="00254C82">
        <w:rPr>
          <w:rFonts w:ascii="Calibri" w:hAnsi="Calibri" w:cs="Calibri"/>
          <w:sz w:val="22"/>
          <w:szCs w:val="22"/>
          <w:lang w:val="en-GB"/>
        </w:rPr>
        <w:t xml:space="preserve">cause of death </w:t>
      </w:r>
      <w:r w:rsidR="00571399">
        <w:rPr>
          <w:rFonts w:ascii="Calibri" w:hAnsi="Calibri" w:cs="Calibri"/>
          <w:sz w:val="22"/>
          <w:szCs w:val="22"/>
          <w:lang w:val="en-GB"/>
        </w:rPr>
        <w:t xml:space="preserve">from disease </w:t>
      </w:r>
      <w:r w:rsidRPr="00254C82">
        <w:rPr>
          <w:rFonts w:ascii="Calibri" w:hAnsi="Calibri" w:cs="Calibri"/>
          <w:sz w:val="22"/>
          <w:szCs w:val="22"/>
          <w:lang w:val="en-GB"/>
        </w:rPr>
        <w:t>during childhood</w:t>
      </w:r>
      <w:r w:rsidRPr="00254C82">
        <w:rPr>
          <w:rFonts w:ascii="Calibri" w:hAnsi="Calibri" w:cs="Calibri"/>
          <w:sz w:val="22"/>
          <w:szCs w:val="22"/>
          <w:lang w:val="en-GB"/>
        </w:rPr>
        <w:fldChar w:fldCharType="begin" w:fldLock="1"/>
      </w:r>
      <w:r w:rsidRPr="00254C82">
        <w:rPr>
          <w:rFonts w:ascii="Calibri" w:hAnsi="Calibri" w:cs="Calibri"/>
          <w:sz w:val="22"/>
          <w:szCs w:val="22"/>
          <w:lang w:val="en-GB"/>
        </w:rPr>
        <w:instrText>ADDIN CSL_CITATION {"citationItems":[{"id":"ITEM-1","itemData":{"URL":"https://www.leukaemia.org.au/","author":[{"dropping-particle":"","family":"Foundation","given":"Leukaemia","non-dropping-particle":"","parse-names":false,"suffix":""}],"id":"ITEM-1","issued":{"date-parts":[["2019"]]},"title":"Leukaemia Foundation Australia","type":"webpage"},"uris":["http://www.mendeley.com/documents/?uuid=684e8a4d-3f76-47b1-b928-941afe91b42a"]}],"mendeley":{"formattedCitation":"&lt;sup&gt;4&lt;/sup&gt;","plainTextFormattedCitation":"4","previouslyFormattedCitation":"[4]"},"properties":{"noteIndex":0},"schema":"https://github.com/citation-style-language/schema/raw/master/csl-citation.json"}</w:instrText>
      </w:r>
      <w:r w:rsidRPr="00254C82">
        <w:rPr>
          <w:rFonts w:ascii="Calibri" w:hAnsi="Calibri" w:cs="Calibri"/>
          <w:sz w:val="22"/>
          <w:szCs w:val="22"/>
          <w:lang w:val="en-GB"/>
        </w:rPr>
        <w:fldChar w:fldCharType="separate"/>
      </w:r>
      <w:r w:rsidRPr="00254C82">
        <w:rPr>
          <w:rFonts w:ascii="Calibri" w:hAnsi="Calibri" w:cs="Calibri"/>
          <w:sz w:val="22"/>
          <w:szCs w:val="22"/>
          <w:vertAlign w:val="superscript"/>
          <w:lang w:val="en-GB"/>
        </w:rPr>
        <w:t>4</w:t>
      </w:r>
      <w:r w:rsidRPr="00254C82">
        <w:rPr>
          <w:rFonts w:ascii="Calibri" w:hAnsi="Calibri" w:cs="Calibri"/>
          <w:sz w:val="22"/>
          <w:szCs w:val="22"/>
          <w:lang w:val="en-AU"/>
        </w:rPr>
        <w:fldChar w:fldCharType="end"/>
      </w:r>
      <w:r w:rsidRPr="00254C82">
        <w:rPr>
          <w:rFonts w:ascii="Calibri" w:hAnsi="Calibri" w:cs="Calibri"/>
          <w:sz w:val="22"/>
          <w:szCs w:val="22"/>
          <w:lang w:val="en-GB"/>
        </w:rPr>
        <w:t>. In this study, pre-B cell-specific CD19/</w:t>
      </w:r>
      <w:proofErr w:type="spellStart"/>
      <w:r w:rsidRPr="00254C82">
        <w:rPr>
          <w:rFonts w:ascii="Calibri" w:hAnsi="Calibri" w:cs="Calibri"/>
          <w:sz w:val="22"/>
          <w:szCs w:val="22"/>
          <w:lang w:val="en-GB"/>
        </w:rPr>
        <w:t>mPEG</w:t>
      </w:r>
      <w:proofErr w:type="spellEnd"/>
      <w:r w:rsidRPr="00254C82">
        <w:rPr>
          <w:rFonts w:ascii="Calibri" w:hAnsi="Calibri" w:cs="Calibri"/>
          <w:sz w:val="22"/>
          <w:szCs w:val="22"/>
          <w:lang w:val="en-GB"/>
        </w:rPr>
        <w:t xml:space="preserve"> and CD22/</w:t>
      </w:r>
      <w:proofErr w:type="spellStart"/>
      <w:r w:rsidRPr="00254C82">
        <w:rPr>
          <w:rFonts w:ascii="Calibri" w:hAnsi="Calibri" w:cs="Calibri"/>
          <w:sz w:val="22"/>
          <w:szCs w:val="22"/>
          <w:lang w:val="en-GB"/>
        </w:rPr>
        <w:t>mPEG</w:t>
      </w:r>
      <w:proofErr w:type="spellEnd"/>
      <w:r w:rsidRPr="00254C82">
        <w:rPr>
          <w:rFonts w:ascii="Calibri" w:hAnsi="Calibri" w:cs="Calibri"/>
          <w:sz w:val="22"/>
          <w:szCs w:val="22"/>
          <w:lang w:val="en-GB"/>
        </w:rPr>
        <w:t xml:space="preserve"> </w:t>
      </w:r>
      <w:proofErr w:type="spellStart"/>
      <w:r w:rsidRPr="00254C82">
        <w:rPr>
          <w:rFonts w:ascii="Calibri" w:hAnsi="Calibri" w:cs="Calibri"/>
          <w:sz w:val="22"/>
          <w:szCs w:val="22"/>
          <w:lang w:val="en-GB"/>
        </w:rPr>
        <w:t>BsAbs</w:t>
      </w:r>
      <w:proofErr w:type="spellEnd"/>
      <w:r w:rsidRPr="00254C82">
        <w:rPr>
          <w:rFonts w:ascii="Calibri" w:hAnsi="Calibri" w:cs="Calibri"/>
          <w:sz w:val="22"/>
          <w:szCs w:val="22"/>
          <w:lang w:val="en-GB"/>
        </w:rPr>
        <w:t xml:space="preserve"> were engineered using humanized Ab sequences retrieved from clinically-approved pharmaceuticals and individually conjugated to </w:t>
      </w:r>
      <w:proofErr w:type="spellStart"/>
      <w:r w:rsidRPr="00254C82">
        <w:rPr>
          <w:rFonts w:ascii="Calibri" w:hAnsi="Calibri" w:cs="Calibri"/>
          <w:sz w:val="22"/>
          <w:szCs w:val="22"/>
          <w:lang w:val="en-GB"/>
        </w:rPr>
        <w:t>Doxil</w:t>
      </w:r>
      <w:proofErr w:type="spellEnd"/>
      <w:r w:rsidRPr="00254C82">
        <w:rPr>
          <w:rFonts w:ascii="Calibri" w:hAnsi="Calibri" w:cs="Calibri"/>
          <w:sz w:val="22"/>
          <w:szCs w:val="22"/>
          <w:lang w:val="en-GB"/>
        </w:rPr>
        <w:t xml:space="preserve">® as </w:t>
      </w:r>
      <w:r w:rsidR="00571399">
        <w:rPr>
          <w:rFonts w:ascii="Calibri" w:hAnsi="Calibri" w:cs="Calibri"/>
          <w:sz w:val="22"/>
          <w:szCs w:val="22"/>
          <w:lang w:val="en-GB"/>
        </w:rPr>
        <w:t xml:space="preserve">a </w:t>
      </w:r>
      <w:proofErr w:type="spellStart"/>
      <w:r w:rsidRPr="00254C82">
        <w:rPr>
          <w:rFonts w:ascii="Calibri" w:hAnsi="Calibri" w:cs="Calibri"/>
          <w:sz w:val="22"/>
          <w:szCs w:val="22"/>
          <w:lang w:val="en-GB"/>
        </w:rPr>
        <w:t>mPEG</w:t>
      </w:r>
      <w:proofErr w:type="spellEnd"/>
      <w:r w:rsidRPr="00254C82">
        <w:rPr>
          <w:rFonts w:ascii="Calibri" w:hAnsi="Calibri" w:cs="Calibri"/>
          <w:sz w:val="22"/>
          <w:szCs w:val="22"/>
          <w:lang w:val="en-GB"/>
        </w:rPr>
        <w:t>-nanotherapeutic. Data will be presented on the preclinical evaluation and optimi</w:t>
      </w:r>
      <w:r w:rsidR="00571399">
        <w:rPr>
          <w:rFonts w:ascii="Calibri" w:hAnsi="Calibri" w:cs="Calibri"/>
          <w:sz w:val="22"/>
          <w:szCs w:val="22"/>
          <w:lang w:val="en-GB"/>
        </w:rPr>
        <w:t>s</w:t>
      </w:r>
      <w:r w:rsidRPr="00254C82">
        <w:rPr>
          <w:rFonts w:ascii="Calibri" w:hAnsi="Calibri" w:cs="Calibri"/>
          <w:sz w:val="22"/>
          <w:szCs w:val="22"/>
          <w:lang w:val="en-GB"/>
        </w:rPr>
        <w:t xml:space="preserve">ation of </w:t>
      </w:r>
      <w:proofErr w:type="spellStart"/>
      <w:r w:rsidRPr="00254C82">
        <w:rPr>
          <w:rFonts w:ascii="Calibri" w:hAnsi="Calibri" w:cs="Calibri"/>
          <w:sz w:val="22"/>
          <w:szCs w:val="22"/>
          <w:lang w:val="en-GB"/>
        </w:rPr>
        <w:t>BsAb-Doxil</w:t>
      </w:r>
      <w:proofErr w:type="spellEnd"/>
      <w:r w:rsidRPr="00254C82">
        <w:rPr>
          <w:rFonts w:ascii="Calibri" w:hAnsi="Calibri" w:cs="Calibri"/>
          <w:sz w:val="22"/>
          <w:szCs w:val="22"/>
          <w:lang w:val="en-GB"/>
        </w:rPr>
        <w:t xml:space="preserve">® conjugation in terms of maximising </w:t>
      </w:r>
      <w:proofErr w:type="spellStart"/>
      <w:r w:rsidRPr="00254C82">
        <w:rPr>
          <w:rFonts w:ascii="Calibri" w:hAnsi="Calibri" w:cs="Calibri"/>
          <w:sz w:val="22"/>
          <w:szCs w:val="22"/>
          <w:lang w:val="en-GB"/>
        </w:rPr>
        <w:t>Doxil</w:t>
      </w:r>
      <w:proofErr w:type="spellEnd"/>
      <w:r w:rsidRPr="00254C82">
        <w:rPr>
          <w:rFonts w:ascii="Calibri" w:hAnsi="Calibri" w:cs="Calibri"/>
          <w:sz w:val="22"/>
          <w:szCs w:val="22"/>
          <w:lang w:val="en-GB"/>
        </w:rPr>
        <w:t>® recognition, intracellular delivery and cytotoxicity towards pre-B cell lines isolated from children with high-risk ALL</w:t>
      </w:r>
      <w:r w:rsidRPr="00254C82">
        <w:rPr>
          <w:rFonts w:ascii="Calibri" w:hAnsi="Calibri" w:cs="Calibri"/>
          <w:sz w:val="22"/>
          <w:szCs w:val="22"/>
          <w:lang w:val="en-GB"/>
        </w:rPr>
        <w:fldChar w:fldCharType="begin" w:fldLock="1"/>
      </w:r>
      <w:r w:rsidRPr="00254C82">
        <w:rPr>
          <w:rFonts w:ascii="Calibri" w:hAnsi="Calibri" w:cs="Calibri"/>
          <w:sz w:val="22"/>
          <w:szCs w:val="22"/>
          <w:lang w:val="en-GB"/>
        </w:rPr>
        <w:instrText>ADDIN CSL_CITATION {"citationItems":[{"id":"ITEM-1","itemData":{"DOI":"10.1038/bcj.2017.53","ISBN":"9781479940844","ISSN":"20445385","PMID":"28665419","abstract":"Acute lymphoblastic leukemia (ALL) is the second most common acute leukemia in adults, with an incidence of over 6500 cases per year in the United States alone. The hallmark of ALL is chromosomal abnormalities and genetic alterations involved in differentiation and proliferation of lymphoid precursor cells. In adults, 75% of cases develop from precursors of the B-cell lineage, with the remainder of cases consisting of malignant T-cell precursors. Traditionally, risk stratification has been based on clinical factors such age, white blood cell count and response to chemotherapy; however, the identification of recurrent genetic alterations has helped refine individual prognosis and guide management. Despite advances in management, the backbone of therapy remains multi-agent chemotherapy with vincristine, corticosteroids and an anthracycline with allogeneic stem cell transplantation for eligible candidates. Elderly patients are often unable to tolerate such regimens and carry a particularly poor prognosis. Here, we review the major recent advances in the treatment of ALL.","author":[{"dropping-particle":"","family":"Terwilliger","given":"T.","non-dropping-particle":"","parse-names":false,"suffix":""},{"dropping-particle":"","family":"Abdul-Hay","given":"M.","non-dropping-particle":"","parse-names":false,"suffix":""}],"container-title":"Blood cancer journal","id":"ITEM-1","issued":{"date-parts":[["2017"]]},"title":"Acute lymphoblastic leukemia: a comprehensive review and 2017 update","type":"article-journal"},"uris":["http://www.mendeley.com/documents/?uuid=8651eb05-48e9-4133-99bf-abc827495527"]}],"mendeley":{"formattedCitation":"&lt;sup&gt;5&lt;/sup&gt;","plainTextFormattedCitation":"5","previouslyFormattedCitation":"[5]"},"properties":{"noteIndex":0},"schema":"https://github.com/citation-style-language/schema/raw/master/csl-citation.json"}</w:instrText>
      </w:r>
      <w:r w:rsidRPr="00254C82">
        <w:rPr>
          <w:rFonts w:ascii="Calibri" w:hAnsi="Calibri" w:cs="Calibri"/>
          <w:sz w:val="22"/>
          <w:szCs w:val="22"/>
          <w:lang w:val="en-GB"/>
        </w:rPr>
        <w:fldChar w:fldCharType="separate"/>
      </w:r>
      <w:r w:rsidRPr="00254C82">
        <w:rPr>
          <w:rFonts w:ascii="Calibri" w:hAnsi="Calibri" w:cs="Calibri"/>
          <w:sz w:val="22"/>
          <w:szCs w:val="22"/>
          <w:vertAlign w:val="superscript"/>
          <w:lang w:val="en-GB"/>
        </w:rPr>
        <w:t>5</w:t>
      </w:r>
      <w:r w:rsidRPr="00254C82">
        <w:rPr>
          <w:rFonts w:ascii="Calibri" w:hAnsi="Calibri" w:cs="Calibri"/>
          <w:sz w:val="22"/>
          <w:szCs w:val="22"/>
          <w:lang w:val="en-AU"/>
        </w:rPr>
        <w:fldChar w:fldCharType="end"/>
      </w:r>
      <w:r w:rsidRPr="00254C82">
        <w:rPr>
          <w:rFonts w:ascii="Calibri" w:hAnsi="Calibri" w:cs="Calibri"/>
          <w:sz w:val="22"/>
          <w:szCs w:val="22"/>
          <w:lang w:val="en-GB"/>
        </w:rPr>
        <w:t xml:space="preserve">. </w:t>
      </w:r>
      <w:r w:rsidR="003E061C">
        <w:rPr>
          <w:rFonts w:ascii="Calibri" w:hAnsi="Calibri" w:cs="Calibri"/>
          <w:sz w:val="22"/>
          <w:szCs w:val="22"/>
          <w:lang w:val="en-GB"/>
        </w:rPr>
        <w:t>To</w:t>
      </w:r>
      <w:r w:rsidRPr="00254C82">
        <w:rPr>
          <w:rFonts w:ascii="Calibri" w:hAnsi="Calibri" w:cs="Calibri"/>
          <w:sz w:val="22"/>
          <w:szCs w:val="22"/>
          <w:lang w:val="en-GB"/>
        </w:rPr>
        <w:t xml:space="preserve"> maximize pre-B cell targeting and drug delivered payloads, a combinatorial strategy based on the simultaneous administration of CD19- and CD22-Doxil® </w:t>
      </w:r>
      <w:r w:rsidR="00571399">
        <w:rPr>
          <w:rFonts w:ascii="Calibri" w:hAnsi="Calibri" w:cs="Calibri"/>
          <w:sz w:val="22"/>
          <w:szCs w:val="22"/>
          <w:lang w:val="en-GB"/>
        </w:rPr>
        <w:t>has been performed</w:t>
      </w:r>
      <w:r w:rsidRPr="00254C82">
        <w:rPr>
          <w:rFonts w:ascii="Calibri" w:hAnsi="Calibri" w:cs="Calibri"/>
          <w:sz w:val="22"/>
          <w:szCs w:val="22"/>
          <w:lang w:val="en-GB"/>
        </w:rPr>
        <w:t xml:space="preserve">. </w:t>
      </w:r>
    </w:p>
    <w:p w14:paraId="3952D12C" w14:textId="77777777" w:rsidR="007E22FB" w:rsidRDefault="007E22FB" w:rsidP="007E22FB">
      <w:pPr>
        <w:ind w:left="284" w:right="282"/>
        <w:jc w:val="both"/>
        <w:rPr>
          <w:rFonts w:ascii="Calibri" w:hAnsi="Calibri" w:cs="Calibri"/>
          <w:sz w:val="22"/>
          <w:szCs w:val="22"/>
          <w:lang w:val="en-GB"/>
        </w:rPr>
      </w:pPr>
    </w:p>
    <w:p w14:paraId="41BFC03F" w14:textId="09C3D86F" w:rsidR="00254C82" w:rsidRDefault="00254C82" w:rsidP="007E22FB">
      <w:pPr>
        <w:ind w:left="284" w:right="282"/>
        <w:jc w:val="both"/>
        <w:rPr>
          <w:rFonts w:ascii="Calibri" w:hAnsi="Calibri" w:cs="Calibri"/>
          <w:sz w:val="22"/>
          <w:szCs w:val="22"/>
          <w:lang w:val="en-GB"/>
        </w:rPr>
      </w:pPr>
      <w:r w:rsidRPr="00254C82">
        <w:rPr>
          <w:rFonts w:ascii="Calibri" w:hAnsi="Calibri" w:cs="Calibri"/>
          <w:sz w:val="22"/>
          <w:szCs w:val="22"/>
          <w:lang w:val="en-GB"/>
        </w:rPr>
        <w:t xml:space="preserve">This study shows </w:t>
      </w:r>
      <w:r w:rsidR="00571399">
        <w:rPr>
          <w:rFonts w:ascii="Calibri" w:hAnsi="Calibri" w:cs="Calibri"/>
          <w:sz w:val="22"/>
          <w:szCs w:val="22"/>
          <w:lang w:val="en-GB"/>
        </w:rPr>
        <w:t xml:space="preserve">that repurposing a clinically approved liposomal </w:t>
      </w:r>
      <w:proofErr w:type="spellStart"/>
      <w:r w:rsidR="00571399">
        <w:rPr>
          <w:rFonts w:ascii="Calibri" w:hAnsi="Calibri" w:cs="Calibri"/>
          <w:sz w:val="22"/>
          <w:szCs w:val="22"/>
          <w:lang w:val="en-GB"/>
        </w:rPr>
        <w:t>nanoformulation</w:t>
      </w:r>
      <w:proofErr w:type="spellEnd"/>
      <w:r w:rsidR="00571399">
        <w:rPr>
          <w:rFonts w:ascii="Calibri" w:hAnsi="Calibri" w:cs="Calibri"/>
          <w:sz w:val="22"/>
          <w:szCs w:val="22"/>
          <w:lang w:val="en-GB"/>
        </w:rPr>
        <w:t xml:space="preserve"> using</w:t>
      </w:r>
      <w:r w:rsidRPr="00254C82">
        <w:rPr>
          <w:rFonts w:ascii="Calibri" w:hAnsi="Calibri" w:cs="Calibri"/>
          <w:sz w:val="22"/>
          <w:szCs w:val="22"/>
          <w:lang w:val="en-GB"/>
        </w:rPr>
        <w:t xml:space="preserve"> </w:t>
      </w:r>
      <w:proofErr w:type="spellStart"/>
      <w:r w:rsidRPr="00254C82">
        <w:rPr>
          <w:rFonts w:ascii="Calibri" w:hAnsi="Calibri" w:cs="Calibri"/>
          <w:sz w:val="22"/>
          <w:szCs w:val="22"/>
          <w:lang w:val="en-GB"/>
        </w:rPr>
        <w:t>BsAbs</w:t>
      </w:r>
      <w:proofErr w:type="spellEnd"/>
      <w:r w:rsidRPr="00254C82">
        <w:rPr>
          <w:rFonts w:ascii="Calibri" w:hAnsi="Calibri" w:cs="Calibri"/>
          <w:sz w:val="22"/>
          <w:szCs w:val="22"/>
          <w:lang w:val="en-GB"/>
        </w:rPr>
        <w:t xml:space="preserve"> </w:t>
      </w:r>
      <w:r w:rsidR="00571399">
        <w:rPr>
          <w:rFonts w:ascii="Calibri" w:hAnsi="Calibri" w:cs="Calibri"/>
          <w:sz w:val="22"/>
          <w:szCs w:val="22"/>
          <w:lang w:val="en-GB"/>
        </w:rPr>
        <w:t xml:space="preserve">may be a </w:t>
      </w:r>
      <w:r w:rsidR="007E22FB">
        <w:rPr>
          <w:rFonts w:ascii="Calibri" w:hAnsi="Calibri" w:cs="Calibri"/>
          <w:sz w:val="22"/>
          <w:szCs w:val="22"/>
          <w:lang w:val="en-GB"/>
        </w:rPr>
        <w:t>promising</w:t>
      </w:r>
      <w:r w:rsidR="00571399">
        <w:rPr>
          <w:rFonts w:ascii="Calibri" w:hAnsi="Calibri" w:cs="Calibri"/>
          <w:sz w:val="22"/>
          <w:szCs w:val="22"/>
          <w:lang w:val="en-GB"/>
        </w:rPr>
        <w:t xml:space="preserve"> </w:t>
      </w:r>
      <w:r w:rsidR="007E22FB">
        <w:rPr>
          <w:rFonts w:ascii="Calibri" w:hAnsi="Calibri" w:cs="Calibri"/>
          <w:sz w:val="22"/>
          <w:szCs w:val="22"/>
          <w:lang w:val="en-GB"/>
        </w:rPr>
        <w:t>strategy</w:t>
      </w:r>
      <w:r w:rsidRPr="00254C82">
        <w:rPr>
          <w:rFonts w:ascii="Calibri" w:hAnsi="Calibri" w:cs="Calibri"/>
          <w:sz w:val="22"/>
          <w:szCs w:val="22"/>
          <w:lang w:val="en-GB"/>
        </w:rPr>
        <w:t xml:space="preserve"> </w:t>
      </w:r>
      <w:r w:rsidR="007E22FB">
        <w:rPr>
          <w:rFonts w:ascii="Calibri" w:hAnsi="Calibri" w:cs="Calibri"/>
          <w:sz w:val="22"/>
          <w:szCs w:val="22"/>
          <w:lang w:val="en-GB"/>
        </w:rPr>
        <w:t>for the treatment of drug resistant/refractory ALL</w:t>
      </w:r>
      <w:r w:rsidRPr="00254C82">
        <w:rPr>
          <w:rFonts w:ascii="Calibri" w:hAnsi="Calibri" w:cs="Calibri"/>
          <w:sz w:val="22"/>
          <w:szCs w:val="22"/>
          <w:lang w:val="en-GB"/>
        </w:rPr>
        <w:t xml:space="preserve">. </w:t>
      </w:r>
    </w:p>
    <w:p w14:paraId="2A2D8809" w14:textId="77777777" w:rsidR="00571399" w:rsidRPr="00254C82" w:rsidRDefault="00571399" w:rsidP="00571399">
      <w:pPr>
        <w:ind w:left="284" w:right="282" w:firstLine="436"/>
        <w:jc w:val="both"/>
        <w:rPr>
          <w:rFonts w:ascii="Calibri" w:hAnsi="Calibri" w:cs="Calibri"/>
          <w:sz w:val="22"/>
          <w:szCs w:val="22"/>
          <w:lang w:val="en-GB"/>
        </w:rPr>
      </w:pPr>
    </w:p>
    <w:p w14:paraId="19A0A76F" w14:textId="3AAC6452" w:rsidR="00F97620" w:rsidRPr="006B3866" w:rsidRDefault="00F97620" w:rsidP="007E22FB">
      <w:pPr>
        <w:ind w:left="284" w:right="282"/>
        <w:jc w:val="both"/>
        <w:rPr>
          <w:rFonts w:ascii="Calibri" w:hAnsi="Calibri" w:cs="Calibri"/>
          <w:sz w:val="22"/>
          <w:szCs w:val="22"/>
          <w:lang w:val="en-AU"/>
        </w:rPr>
      </w:pPr>
    </w:p>
    <w:p w14:paraId="1FBDC85D" w14:textId="169355E0" w:rsidR="007E22FB" w:rsidRPr="006B3866" w:rsidRDefault="00470BF2">
      <w:pPr>
        <w:ind w:left="284" w:right="282"/>
        <w:jc w:val="both"/>
        <w:rPr>
          <w:rFonts w:ascii="Calibri" w:hAnsi="Calibri" w:cs="Calibri"/>
          <w:sz w:val="22"/>
          <w:szCs w:val="22"/>
          <w:lang w:val="en-AU"/>
        </w:rPr>
      </w:pPr>
      <w:r>
        <w:rPr>
          <w:rFonts w:ascii="Calibri" w:hAnsi="Calibri" w:cs="Calibri"/>
          <w:sz w:val="22"/>
          <w:szCs w:val="22"/>
          <w:lang w:val="en-AU"/>
        </w:rPr>
        <w:t xml:space="preserve">Presenting author: </w:t>
      </w:r>
      <w:r w:rsidR="000C0C3D">
        <w:rPr>
          <w:rFonts w:ascii="Calibri" w:hAnsi="Calibri" w:cs="Calibri"/>
          <w:sz w:val="22"/>
          <w:szCs w:val="22"/>
          <w:lang w:val="en-AU"/>
        </w:rPr>
        <w:t>m.kavallaris@ccia.unsw.edu.au</w:t>
      </w:r>
    </w:p>
    <w:sectPr w:rsidR="007E22FB"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5789F"/>
    <w:rsid w:val="000A6D19"/>
    <w:rsid w:val="000C0C3D"/>
    <w:rsid w:val="001A21AD"/>
    <w:rsid w:val="002078AD"/>
    <w:rsid w:val="002226BB"/>
    <w:rsid w:val="00225236"/>
    <w:rsid w:val="002272B0"/>
    <w:rsid w:val="00254C82"/>
    <w:rsid w:val="00300B92"/>
    <w:rsid w:val="0030585E"/>
    <w:rsid w:val="00387491"/>
    <w:rsid w:val="003E061C"/>
    <w:rsid w:val="00447188"/>
    <w:rsid w:val="00470BF2"/>
    <w:rsid w:val="00483B05"/>
    <w:rsid w:val="004A68AD"/>
    <w:rsid w:val="004E28B9"/>
    <w:rsid w:val="004E5450"/>
    <w:rsid w:val="005226A8"/>
    <w:rsid w:val="0055229D"/>
    <w:rsid w:val="00562D19"/>
    <w:rsid w:val="00571399"/>
    <w:rsid w:val="0059609A"/>
    <w:rsid w:val="00597659"/>
    <w:rsid w:val="005E48A2"/>
    <w:rsid w:val="005F19FF"/>
    <w:rsid w:val="00641190"/>
    <w:rsid w:val="006448F3"/>
    <w:rsid w:val="006B3866"/>
    <w:rsid w:val="00711813"/>
    <w:rsid w:val="00724E3C"/>
    <w:rsid w:val="00743C46"/>
    <w:rsid w:val="007E22FB"/>
    <w:rsid w:val="00815B35"/>
    <w:rsid w:val="00886670"/>
    <w:rsid w:val="008909C9"/>
    <w:rsid w:val="00947B77"/>
    <w:rsid w:val="00997C34"/>
    <w:rsid w:val="009A4CFF"/>
    <w:rsid w:val="009B2641"/>
    <w:rsid w:val="009E2228"/>
    <w:rsid w:val="009F06D6"/>
    <w:rsid w:val="00A266B4"/>
    <w:rsid w:val="00A673DC"/>
    <w:rsid w:val="00BC5FCC"/>
    <w:rsid w:val="00C0009C"/>
    <w:rsid w:val="00C60A71"/>
    <w:rsid w:val="00CC165A"/>
    <w:rsid w:val="00D55F3B"/>
    <w:rsid w:val="00DA2731"/>
    <w:rsid w:val="00DB4497"/>
    <w:rsid w:val="00DC0ABB"/>
    <w:rsid w:val="00DF1C8E"/>
    <w:rsid w:val="00E734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5238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Zoe Keogh</cp:lastModifiedBy>
  <cp:revision>2</cp:revision>
  <cp:lastPrinted>2013-06-13T05:15:00Z</cp:lastPrinted>
  <dcterms:created xsi:type="dcterms:W3CDTF">2019-11-11T02:47:00Z</dcterms:created>
  <dcterms:modified xsi:type="dcterms:W3CDTF">2019-11-11T02:47:00Z</dcterms:modified>
</cp:coreProperties>
</file>