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AC82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Arial" w:hAnsi="Arial" w:eastAsia="Calibri" w:cs="Calibri"/>
          <w:b/>
          <w:bCs/>
          <w:sz w:val="24"/>
          <w:szCs w:val="24"/>
          <w:lang w:val="en-US"/>
        </w:rPr>
      </w:pPr>
      <w:r>
        <w:rPr>
          <w:rFonts w:ascii="Arial" w:hAnsi="Arial" w:eastAsia="Calibri" w:cs="Calibri"/>
          <w:b/>
          <w:bCs/>
          <w:sz w:val="24"/>
          <w:szCs w:val="24"/>
          <w:lang w:val="en-US"/>
        </w:rPr>
        <w:t>Barriers and Considerations in the Extemporaneous Compounding of</w:t>
      </w:r>
      <w:r>
        <w:rPr>
          <w:rFonts w:hint="default" w:ascii="Arial" w:hAnsi="Arial" w:eastAsia="Calibri" w:cs="Calibri"/>
          <w:b/>
          <w:bCs/>
          <w:sz w:val="24"/>
          <w:szCs w:val="24"/>
          <w:lang w:val="en-US"/>
        </w:rPr>
        <w:t xml:space="preserve"> </w:t>
      </w:r>
      <w:r>
        <w:rPr>
          <w:rFonts w:ascii="Arial" w:hAnsi="Arial" w:eastAsia="Calibri" w:cs="Calibri"/>
          <w:b/>
          <w:bCs/>
          <w:sz w:val="24"/>
          <w:szCs w:val="24"/>
          <w:lang w:val="en-US"/>
        </w:rPr>
        <w:t>Omeprazole and Lansoprazole for Pediatric Patients in Public Hospital</w:t>
      </w:r>
    </w:p>
    <w:p w14:paraId="3E4CD070">
      <w:pPr>
        <w:keepNext w:val="0"/>
        <w:keepLines w:val="0"/>
        <w:pageBreakBefore w:val="0"/>
        <w:widowControl/>
        <w:kinsoku/>
        <w:wordWrap/>
        <w:overflowPunct/>
        <w:topLinePunct w:val="0"/>
        <w:autoSpaceDE/>
        <w:autoSpaceDN/>
        <w:bidi w:val="0"/>
        <w:adjustRightInd/>
        <w:snapToGrid/>
        <w:spacing w:after="0" w:line="240" w:lineRule="auto"/>
        <w:textAlignment w:val="auto"/>
        <w:rPr>
          <w:rFonts w:ascii="Arial" w:hAnsi="Arial" w:eastAsia="Calibri" w:cs="Calibri"/>
          <w:sz w:val="20"/>
          <w:szCs w:val="20"/>
          <w:lang w:val="en-US"/>
        </w:rPr>
      </w:pPr>
      <w:r>
        <w:rPr>
          <w:rFonts w:ascii="Arial" w:hAnsi="Arial" w:eastAsia="Calibri" w:cs="Calibri"/>
          <w:b/>
          <w:bCs/>
          <w:sz w:val="20"/>
          <w:szCs w:val="20"/>
          <w:u w:val="single"/>
          <w:lang w:val="en-US"/>
        </w:rPr>
        <w:t>Yunita Suffiana</w:t>
      </w:r>
      <w:r>
        <w:rPr>
          <w:rFonts w:ascii="Arial" w:hAnsi="Arial" w:eastAsia="Calibri" w:cs="Calibri"/>
          <w:b/>
          <w:bCs/>
          <w:sz w:val="20"/>
          <w:szCs w:val="20"/>
          <w:vertAlign w:val="superscript"/>
          <w:lang w:val="en-US"/>
        </w:rPr>
        <w:t>1</w:t>
      </w:r>
      <w:r>
        <w:rPr>
          <w:rFonts w:ascii="Arial" w:hAnsi="Arial" w:eastAsia="Calibri" w:cs="Calibri"/>
          <w:sz w:val="20"/>
          <w:szCs w:val="20"/>
          <w:lang w:val="en-US"/>
        </w:rPr>
        <w:t>, Lydia Septa Desiyana</w:t>
      </w:r>
      <w:r>
        <w:rPr>
          <w:rFonts w:ascii="Arial" w:hAnsi="Arial" w:eastAsia="Calibri" w:cs="Calibri"/>
          <w:sz w:val="20"/>
          <w:szCs w:val="20"/>
          <w:vertAlign w:val="superscript"/>
          <w:lang w:val="en-US"/>
        </w:rPr>
        <w:t>2</w:t>
      </w:r>
      <w:r>
        <w:rPr>
          <w:rFonts w:ascii="Arial" w:hAnsi="Arial" w:eastAsia="Calibri" w:cs="Calibri"/>
          <w:sz w:val="20"/>
          <w:szCs w:val="20"/>
          <w:lang w:val="en-US"/>
        </w:rPr>
        <w:t>, Fitri Deliana</w:t>
      </w:r>
      <w:r>
        <w:rPr>
          <w:rFonts w:ascii="Arial" w:hAnsi="Arial" w:eastAsia="Calibri" w:cs="Calibri"/>
          <w:sz w:val="20"/>
          <w:szCs w:val="20"/>
          <w:vertAlign w:val="superscript"/>
          <w:lang w:val="en-US"/>
        </w:rPr>
        <w:t>3</w:t>
      </w:r>
      <w:r>
        <w:rPr>
          <w:rFonts w:ascii="Arial" w:hAnsi="Arial" w:eastAsia="Calibri" w:cs="Calibri"/>
          <w:sz w:val="20"/>
          <w:szCs w:val="20"/>
          <w:lang w:val="en-US"/>
        </w:rPr>
        <w:t xml:space="preserve">.     </w:t>
      </w:r>
    </w:p>
    <w:p w14:paraId="23E53DD8">
      <w:pPr>
        <w:spacing w:after="0"/>
        <w:rPr>
          <w:rFonts w:ascii="Arial" w:hAnsi="Arial" w:eastAsia="Calibri" w:cs="Calibri"/>
          <w:sz w:val="20"/>
          <w:szCs w:val="20"/>
          <w:lang w:val="en-US"/>
        </w:rPr>
      </w:pPr>
      <w:r>
        <w:rPr>
          <w:rFonts w:ascii="Arial" w:hAnsi="Arial" w:eastAsia="Calibri" w:cs="Calibri"/>
          <w:sz w:val="20"/>
          <w:szCs w:val="20"/>
          <w:vertAlign w:val="superscript"/>
          <w:lang w:val="en-US"/>
        </w:rPr>
        <w:t>1</w:t>
      </w:r>
      <w:r>
        <w:rPr>
          <w:rFonts w:ascii="Arial" w:hAnsi="Arial" w:eastAsia="Calibri" w:cs="Calibri"/>
          <w:sz w:val="20"/>
          <w:szCs w:val="20"/>
          <w:lang w:val="en-US"/>
        </w:rPr>
        <w:t>Clinical Pharmacist, Dr. Zainoel Abidin General Hospital, Banda Aceh, Aceh, Indonesia.</w:t>
      </w:r>
    </w:p>
    <w:p w14:paraId="2C825A31">
      <w:pPr>
        <w:spacing w:after="0"/>
        <w:rPr>
          <w:rFonts w:ascii="Arial" w:hAnsi="Arial" w:eastAsia="Calibri" w:cs="Calibri"/>
          <w:sz w:val="20"/>
          <w:szCs w:val="20"/>
          <w:lang w:val="en-US"/>
        </w:rPr>
      </w:pPr>
      <w:r>
        <w:rPr>
          <w:rFonts w:ascii="Arial" w:hAnsi="Arial" w:eastAsia="Calibri" w:cs="Calibri"/>
          <w:sz w:val="20"/>
          <w:szCs w:val="20"/>
          <w:vertAlign w:val="superscript"/>
          <w:lang w:val="en-US"/>
        </w:rPr>
        <w:t>2</w:t>
      </w:r>
      <w:r>
        <w:rPr>
          <w:rFonts w:ascii="Arial" w:hAnsi="Arial" w:eastAsia="Calibri" w:cs="Calibri"/>
          <w:sz w:val="20"/>
          <w:szCs w:val="20"/>
          <w:lang w:val="en-US"/>
        </w:rPr>
        <w:t>Pharmacy,  University</w:t>
      </w:r>
      <w:r>
        <w:rPr>
          <w:rFonts w:hint="default" w:ascii="Arial" w:hAnsi="Arial" w:eastAsia="Calibri" w:cs="Calibri"/>
          <w:sz w:val="20"/>
          <w:szCs w:val="20"/>
          <w:lang w:val="en-US"/>
        </w:rPr>
        <w:t xml:space="preserve"> of Syiah Kuala</w:t>
      </w:r>
      <w:r>
        <w:rPr>
          <w:rFonts w:ascii="Arial" w:hAnsi="Arial" w:eastAsia="Calibri" w:cs="Calibri"/>
          <w:sz w:val="20"/>
          <w:szCs w:val="20"/>
          <w:lang w:val="en-US"/>
        </w:rPr>
        <w:t>, Banda Aceh, Aceh, Indonesia.</w:t>
      </w:r>
    </w:p>
    <w:p w14:paraId="1FCAD1A9">
      <w:pPr>
        <w:spacing w:after="0"/>
        <w:rPr>
          <w:rFonts w:ascii="Arial" w:hAnsi="Arial" w:eastAsia="Calibri" w:cs="Calibri"/>
          <w:sz w:val="20"/>
          <w:szCs w:val="20"/>
          <w:lang w:val="en-US"/>
        </w:rPr>
      </w:pPr>
      <w:r>
        <w:rPr>
          <w:rFonts w:ascii="Arial" w:hAnsi="Arial" w:eastAsia="Calibri" w:cs="Calibri"/>
          <w:sz w:val="20"/>
          <w:szCs w:val="20"/>
          <w:vertAlign w:val="superscript"/>
          <w:lang w:val="en-US"/>
        </w:rPr>
        <w:t>3</w:t>
      </w:r>
      <w:r>
        <w:rPr>
          <w:rFonts w:ascii="Arial" w:hAnsi="Arial" w:eastAsia="Calibri" w:cs="Calibri"/>
          <w:sz w:val="20"/>
          <w:szCs w:val="20"/>
          <w:lang w:val="en-US"/>
        </w:rPr>
        <w:t>PhD student at University of Western Australia</w:t>
      </w:r>
    </w:p>
    <w:p w14:paraId="7DE6909F">
      <w:pPr>
        <w:spacing w:after="0" w:line="240" w:lineRule="auto"/>
        <w:rPr>
          <w:rFonts w:ascii="Arial" w:hAnsi="Arial" w:eastAsia="Calibri" w:cs="Calibri"/>
          <w:bCs/>
          <w:kern w:val="0"/>
          <w:sz w:val="20"/>
          <w:szCs w:val="20"/>
          <w14:ligatures w14:val="none"/>
        </w:rPr>
      </w:pPr>
    </w:p>
    <w:p w14:paraId="69968570">
      <w:pPr>
        <w:spacing w:after="0" w:line="240" w:lineRule="auto"/>
        <w:jc w:val="both"/>
        <w:rPr>
          <w:rFonts w:ascii="Arial" w:hAnsi="Arial" w:eastAsia="SimSun" w:cs="Arial"/>
          <w:bCs/>
          <w:sz w:val="20"/>
          <w:szCs w:val="20"/>
          <w:lang w:val="en-US"/>
        </w:rPr>
      </w:pPr>
      <w:r>
        <w:rPr>
          <w:rFonts w:ascii="Arial" w:hAnsi="Arial" w:eastAsia="Calibri" w:cs="Calibri"/>
          <w:b/>
          <w:kern w:val="0"/>
          <w:sz w:val="20"/>
          <w:szCs w:val="20"/>
          <w14:ligatures w14:val="none"/>
        </w:rPr>
        <w:t>Background and aims.</w:t>
      </w:r>
      <w:r>
        <w:rPr>
          <w:rFonts w:ascii="Arial" w:hAnsi="Arial" w:eastAsia="Calibri" w:cs="Arial"/>
          <w:bCs/>
          <w:kern w:val="0"/>
          <w:sz w:val="20"/>
          <w:szCs w:val="20"/>
          <w14:ligatures w14:val="none"/>
        </w:rPr>
        <w:t xml:space="preserve"> </w:t>
      </w:r>
      <w:r>
        <w:rPr>
          <w:rFonts w:ascii="Arial" w:hAnsi="Arial" w:cs="Arial"/>
          <w:sz w:val="20"/>
          <w:szCs w:val="20"/>
          <w:lang w:val="en-US"/>
        </w:rPr>
        <w:t xml:space="preserve">Proton pump inhibitors (PPIs) such as omeprazole and lansoprazole are commonly used to treat pediatric gastroesophageal reflux disease (GERD), particularly when compared to ranitidine in managing extra-esophageal reflux. However, tablet strengths available in Indonesia often exceed the required pediatric dose, prompting the need for alternative formulations like suspensions. Since commercial pediatric-friendly formulations are not available locally, extemporaneous suspensions must be prepared. These liquid forms, however, typically have lower stability and must be compounded upon receiving a prescription. The aim of this study is to develop a child-appropriate formulation with suitable dosage and improved palatability, and to evaluate the stability of extemporaneously prepared omeprazole and lansoprazole suspensions. </w:t>
      </w:r>
    </w:p>
    <w:p w14:paraId="4E8A0D9A">
      <w:pPr>
        <w:spacing w:after="0" w:line="240" w:lineRule="auto"/>
        <w:jc w:val="both"/>
        <w:rPr>
          <w:rFonts w:ascii="Arial" w:hAnsi="Arial" w:eastAsia="SimSun" w:cs="Arial"/>
          <w:bCs/>
          <w:sz w:val="20"/>
          <w:szCs w:val="20"/>
          <w:lang w:val="en-US"/>
        </w:rPr>
      </w:pPr>
    </w:p>
    <w:p w14:paraId="2138A6B6">
      <w:pPr>
        <w:spacing w:after="0" w:line="240" w:lineRule="auto"/>
        <w:jc w:val="both"/>
        <w:rPr>
          <w:rFonts w:ascii="Arial" w:hAnsi="Arial" w:eastAsia="Calibri" w:cs="Arial"/>
          <w:bCs/>
          <w:kern w:val="0"/>
          <w:sz w:val="20"/>
          <w:szCs w:val="20"/>
          <w14:ligatures w14:val="none"/>
        </w:rPr>
      </w:pPr>
      <w:r>
        <w:rPr>
          <w:rFonts w:ascii="Arial" w:hAnsi="Arial" w:eastAsia="SimSun" w:cs="Arial"/>
          <w:bCs/>
          <w:sz w:val="20"/>
          <w:szCs w:val="20"/>
        </w:rPr>
        <w:t xml:space="preserve"> </w:t>
      </w:r>
    </w:p>
    <w:p w14:paraId="1EF43553">
      <w:pPr>
        <w:spacing w:after="0" w:line="240" w:lineRule="auto"/>
        <w:jc w:val="both"/>
        <w:rPr>
          <w:rFonts w:ascii="Arial" w:hAnsi="Arial" w:eastAsia="SimSun" w:cs="Arial"/>
          <w:sz w:val="20"/>
          <w:szCs w:val="20"/>
          <w:lang w:val="en-US"/>
        </w:rPr>
      </w:pPr>
      <w:r>
        <w:rPr>
          <w:rFonts w:ascii="Arial" w:hAnsi="Arial" w:eastAsia="Calibri" w:cs="Calibri"/>
          <w:b/>
          <w:kern w:val="0"/>
          <w:sz w:val="20"/>
          <w:szCs w:val="20"/>
          <w14:ligatures w14:val="none"/>
        </w:rPr>
        <w:t>Methods</w:t>
      </w:r>
      <w:r>
        <w:rPr>
          <w:rFonts w:ascii="Arial" w:hAnsi="Arial" w:eastAsia="Calibri" w:cs="Calibri"/>
          <w:bCs/>
          <w:kern w:val="0"/>
          <w:sz w:val="20"/>
          <w:szCs w:val="20"/>
          <w:lang w:val="en-US"/>
          <w14:ligatures w14:val="none"/>
        </w:rPr>
        <w:t xml:space="preserve"> </w:t>
      </w:r>
      <w:r>
        <w:rPr>
          <w:rFonts w:ascii="Arial" w:hAnsi="Arial" w:cs="Arial"/>
          <w:sz w:val="20"/>
          <w:szCs w:val="20"/>
        </w:rPr>
        <w:t xml:space="preserve">The formulations for omeprazole 2 mg/mL and lansoprazole 3 mg/mL were adapted from Lexicomp and modified based on the availability of ingredients in Indonesia. The ingredients used included omeprazole 20 mg capsules, lansoprazole 30 mg capsules, sodium bicarbonate powder, simplex syrup, strawberry sweetening agent, sodium CMC, nipagin, nipasol, and </w:t>
      </w:r>
      <w:r>
        <w:rPr>
          <w:rFonts w:hint="default" w:ascii="Arial" w:hAnsi="Arial" w:cs="Arial"/>
          <w:sz w:val="20"/>
          <w:szCs w:val="20"/>
          <w:lang w:val="en-US"/>
        </w:rPr>
        <w:t>purified</w:t>
      </w:r>
      <w:r>
        <w:rPr>
          <w:rFonts w:ascii="Arial" w:hAnsi="Arial" w:cs="Arial"/>
          <w:sz w:val="20"/>
          <w:szCs w:val="20"/>
        </w:rPr>
        <w:t xml:space="preserve"> water. This study employed an experimental design focusing on the formulation and stability evaluation of extemporaneously prepared liquid dosage forms. Key parameters assessed included pH, viscosity, sedimentation rate, and taste to determine the physical stability and palatability of the formulations for paediatric.</w:t>
      </w:r>
    </w:p>
    <w:p w14:paraId="19AE806E">
      <w:pPr>
        <w:spacing w:after="0" w:line="240" w:lineRule="auto"/>
        <w:jc w:val="both"/>
        <w:rPr>
          <w:rFonts w:ascii="Arial" w:hAnsi="Arial" w:eastAsia="SimSun" w:cs="Arial"/>
          <w:sz w:val="20"/>
          <w:szCs w:val="20"/>
          <w:lang w:val="en-US"/>
        </w:rPr>
      </w:pPr>
    </w:p>
    <w:p w14:paraId="2FCE1159">
      <w:pPr>
        <w:spacing w:after="0" w:line="240" w:lineRule="auto"/>
        <w:jc w:val="both"/>
        <w:rPr>
          <w:rFonts w:ascii="Arial" w:hAnsi="Arial" w:cs="Arial"/>
          <w:sz w:val="20"/>
          <w:szCs w:val="20"/>
        </w:rPr>
      </w:pPr>
      <w:r>
        <w:rPr>
          <w:rFonts w:ascii="Arial" w:hAnsi="Arial" w:eastAsia="Calibri" w:cs="Calibri"/>
          <w:b/>
          <w:bCs/>
          <w:kern w:val="0"/>
          <w:sz w:val="20"/>
          <w:szCs w:val="20"/>
          <w14:ligatures w14:val="none"/>
        </w:rPr>
        <w:t>Results.</w:t>
      </w:r>
      <w:r>
        <w:rPr>
          <w:rFonts w:ascii="Calibri" w:hAnsi="Calibri" w:eastAsia="Calibri" w:cs="Times New Roman"/>
          <w:kern w:val="0"/>
          <w:lang w:val="en-GB"/>
          <w14:ligatures w14:val="none"/>
        </w:rPr>
        <w:t xml:space="preserve"> </w:t>
      </w:r>
      <w:r>
        <w:rPr>
          <w:rFonts w:ascii="Arial" w:hAnsi="Arial" w:cs="Arial"/>
          <w:sz w:val="20"/>
          <w:szCs w:val="20"/>
        </w:rPr>
        <w:t>Physical evaluation of omeprazole and lansoprazole suspensions included taste testing by 10 healthy adults, reporting a mildly sweet, slightly salty, and slightly bitter taste, overall acceptable. Omeprazole suspension showed viscosity of 91.4 mPa.s (30 rpm) and 83.9 mPa.s (60 rpm), sedimentation ratio (F) of 0.99, and pH 7.4. Lansoprazole suspension had viscosity of 78.3 mPa.s (30 rpm), 72.0 mPa.s (60 rpm), F value of 0.98, and pH 6.7.</w:t>
      </w:r>
    </w:p>
    <w:p w14:paraId="597E35F8">
      <w:pPr>
        <w:spacing w:after="0" w:line="240" w:lineRule="auto"/>
        <w:jc w:val="both"/>
        <w:rPr>
          <w:rFonts w:ascii="Arial" w:hAnsi="Arial" w:eastAsia="Calibri" w:cs="Calibri"/>
          <w:kern w:val="0"/>
          <w:sz w:val="20"/>
          <w:szCs w:val="20"/>
          <w:lang w:val="en-US"/>
          <w14:ligatures w14:val="none"/>
        </w:rPr>
      </w:pPr>
    </w:p>
    <w:p w14:paraId="59E95B09">
      <w:pPr>
        <w:spacing w:after="0" w:line="240" w:lineRule="auto"/>
        <w:jc w:val="both"/>
        <w:rPr>
          <w:rFonts w:ascii="Arial" w:hAnsi="Arial" w:eastAsia="Calibri" w:cs="Calibri"/>
          <w:kern w:val="0"/>
          <w:sz w:val="20"/>
          <w:szCs w:val="20"/>
          <w:lang w:val="en-US"/>
          <w14:ligatures w14:val="none"/>
        </w:rPr>
      </w:pPr>
    </w:p>
    <w:p w14:paraId="2783B816">
      <w:pPr>
        <w:spacing w:after="0" w:line="240" w:lineRule="auto"/>
        <w:jc w:val="both"/>
        <w:rPr>
          <w:rFonts w:ascii="Arial" w:hAnsi="Arial" w:eastAsia="Calibri" w:cs="Calibri"/>
          <w:kern w:val="0"/>
          <w:sz w:val="20"/>
          <w:szCs w:val="20"/>
          <w:lang w:val="en-US"/>
          <w14:ligatures w14:val="none"/>
        </w:rPr>
      </w:pPr>
      <w:r>
        <w:rPr>
          <w:rFonts w:ascii="Arial" w:hAnsi="Arial" w:eastAsia="Calibri" w:cs="Calibri"/>
          <w:b/>
          <w:kern w:val="0"/>
          <w:sz w:val="20"/>
          <w:szCs w:val="20"/>
          <w14:ligatures w14:val="none"/>
        </w:rPr>
        <w:t>Conclusion.</w:t>
      </w:r>
      <w:r>
        <w:rPr>
          <w:rFonts w:ascii="Arial" w:hAnsi="Arial" w:eastAsia="Calibri" w:cs="Calibri"/>
          <w:bCs/>
          <w:kern w:val="0"/>
          <w:sz w:val="20"/>
          <w:szCs w:val="20"/>
          <w14:ligatures w14:val="none"/>
        </w:rPr>
        <w:t xml:space="preserve"> </w:t>
      </w:r>
      <w:r>
        <w:rPr>
          <w:rFonts w:ascii="Arial" w:hAnsi="Arial" w:cs="Arial"/>
          <w:sz w:val="20"/>
          <w:szCs w:val="20"/>
          <w:lang w:val="en-US"/>
        </w:rPr>
        <w:t>The physical evaluation of the Omeprazole suspension formulation showed adequate viscosity and a neutral to slightly alkaline pH, indicating good stability. In contrast, the Lansoprazole suspension formulation demonstrated similarly acceptable viscosity but had a slightly alkaline pH, which may affect its stability.</w:t>
      </w:r>
    </w:p>
    <w:p w14:paraId="4A7F0D64">
      <w:pPr>
        <w:jc w:val="both"/>
        <w:rPr>
          <w:rFonts w:ascii="Arial" w:hAnsi="Arial" w:cs="Arial"/>
          <w:sz w:val="20"/>
          <w:szCs w:val="20"/>
        </w:rPr>
      </w:pPr>
    </w:p>
    <w:p w14:paraId="24922F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Arial" w:hAnsi="Arial" w:cs="Arial"/>
          <w:b/>
          <w:bCs/>
          <w:sz w:val="20"/>
          <w:szCs w:val="20"/>
          <w:lang w:val="en-US"/>
        </w:rPr>
      </w:pPr>
      <w:r>
        <w:rPr>
          <w:rFonts w:ascii="Arial" w:hAnsi="Arial" w:cs="Arial"/>
          <w:b/>
          <w:bCs/>
          <w:sz w:val="20"/>
          <w:szCs w:val="20"/>
        </w:rPr>
        <w:t>References</w:t>
      </w:r>
      <w:r>
        <w:rPr>
          <w:rFonts w:hint="default" w:ascii="Arial" w:hAnsi="Arial" w:cs="Arial"/>
          <w:b/>
          <w:bCs/>
          <w:sz w:val="20"/>
          <w:szCs w:val="20"/>
          <w:lang w:val="en-US"/>
        </w:rPr>
        <w:t>.</w:t>
      </w:r>
    </w:p>
    <w:p w14:paraId="3AC82690">
      <w:pPr>
        <w:keepNext w:val="0"/>
        <w:keepLines w:val="0"/>
        <w:pageBreakBefore w:val="0"/>
        <w:widowControl/>
        <w:numPr>
          <w:ilvl w:val="0"/>
          <w:numId w:val="1"/>
        </w:numPr>
        <w:tabs>
          <w:tab w:val="left" w:pos="240"/>
          <w:tab w:val="clear" w:pos="425"/>
        </w:tabs>
        <w:kinsoku/>
        <w:wordWrap/>
        <w:overflowPunct/>
        <w:topLinePunct w:val="0"/>
        <w:autoSpaceDE w:val="0"/>
        <w:autoSpaceDN w:val="0"/>
        <w:bidi w:val="0"/>
        <w:adjustRightInd/>
        <w:snapToGrid/>
        <w:spacing w:after="0" w:line="240" w:lineRule="auto"/>
        <w:ind w:left="245" w:leftChars="0" w:hanging="245" w:firstLineChars="0"/>
        <w:jc w:val="both"/>
        <w:textAlignment w:val="auto"/>
        <w:rPr>
          <w:rFonts w:hint="default" w:ascii="Arial" w:hAnsi="Arial" w:cs="Arial"/>
          <w:b w:val="0"/>
          <w:bCs w:val="0"/>
          <w:color w:val="auto"/>
          <w:sz w:val="20"/>
          <w:szCs w:val="20"/>
          <w:lang w:val="en-US"/>
        </w:rPr>
      </w:pPr>
      <w:r>
        <w:rPr>
          <w:rFonts w:hint="default" w:ascii="Arial" w:hAnsi="Arial" w:eastAsia="Times New Roman" w:cs="Arial"/>
          <w:b w:val="0"/>
          <w:bCs w:val="0"/>
          <w:color w:val="auto"/>
          <w:sz w:val="20"/>
          <w:szCs w:val="20"/>
        </w:rPr>
        <w:t xml:space="preserve">Boscolo, O., Perra, F., Salvo, L., Buontempo, F., &amp; Lucangioli, S. (2020). Formulation and Stability Study of Omeprazole Oral Liquid Suspension for Pediatric Patients. </w:t>
      </w:r>
      <w:r>
        <w:rPr>
          <w:rFonts w:hint="default" w:ascii="Arial" w:hAnsi="Arial" w:eastAsia="Times New Roman" w:cs="Arial"/>
          <w:b w:val="0"/>
          <w:bCs w:val="0"/>
          <w:i/>
          <w:iCs/>
          <w:color w:val="auto"/>
          <w:sz w:val="20"/>
          <w:szCs w:val="20"/>
        </w:rPr>
        <w:t>Hospital Pharmacy</w:t>
      </w:r>
      <w:r>
        <w:rPr>
          <w:rFonts w:hint="default" w:ascii="Arial" w:hAnsi="Arial" w:eastAsia="Times New Roman" w:cs="Arial"/>
          <w:b w:val="0"/>
          <w:bCs w:val="0"/>
          <w:color w:val="auto"/>
          <w:sz w:val="20"/>
          <w:szCs w:val="20"/>
        </w:rPr>
        <w:t xml:space="preserve">, </w:t>
      </w:r>
      <w:r>
        <w:rPr>
          <w:rFonts w:hint="default" w:ascii="Arial" w:hAnsi="Arial" w:eastAsia="Times New Roman" w:cs="Arial"/>
          <w:b w:val="0"/>
          <w:bCs w:val="0"/>
          <w:i/>
          <w:iCs/>
          <w:color w:val="auto"/>
          <w:sz w:val="20"/>
          <w:szCs w:val="20"/>
        </w:rPr>
        <w:t>55</w:t>
      </w:r>
      <w:r>
        <w:rPr>
          <w:rFonts w:hint="default" w:ascii="Arial" w:hAnsi="Arial" w:eastAsia="Times New Roman" w:cs="Arial"/>
          <w:b w:val="0"/>
          <w:bCs w:val="0"/>
          <w:color w:val="auto"/>
          <w:sz w:val="20"/>
          <w:szCs w:val="20"/>
        </w:rPr>
        <w:t xml:space="preserve">(5), 314–322. </w:t>
      </w:r>
      <w:r>
        <w:rPr>
          <w:rFonts w:hint="default" w:ascii="Arial" w:hAnsi="Arial" w:eastAsia="Times New Roman" w:cs="Arial"/>
          <w:b w:val="0"/>
          <w:bCs w:val="0"/>
          <w:color w:val="auto"/>
          <w:sz w:val="20"/>
          <w:szCs w:val="20"/>
          <w:u w:val="none"/>
        </w:rPr>
        <w:fldChar w:fldCharType="begin"/>
      </w:r>
      <w:r>
        <w:rPr>
          <w:rFonts w:hint="default" w:ascii="Arial" w:hAnsi="Arial" w:eastAsia="Times New Roman" w:cs="Arial"/>
          <w:b w:val="0"/>
          <w:bCs w:val="0"/>
          <w:color w:val="auto"/>
          <w:sz w:val="20"/>
          <w:szCs w:val="20"/>
          <w:u w:val="none"/>
        </w:rPr>
        <w:instrText xml:space="preserve"> HYPERLINK "https://doi.org/10.1177/0018578719844704." </w:instrText>
      </w:r>
      <w:r>
        <w:rPr>
          <w:rFonts w:hint="default" w:ascii="Arial" w:hAnsi="Arial" w:eastAsia="Times New Roman" w:cs="Arial"/>
          <w:b w:val="0"/>
          <w:bCs w:val="0"/>
          <w:color w:val="auto"/>
          <w:sz w:val="20"/>
          <w:szCs w:val="20"/>
          <w:u w:val="none"/>
        </w:rPr>
        <w:fldChar w:fldCharType="separate"/>
      </w:r>
      <w:r>
        <w:rPr>
          <w:rStyle w:val="14"/>
          <w:rFonts w:hint="default" w:ascii="Arial" w:hAnsi="Arial" w:eastAsia="Times New Roman" w:cs="Arial"/>
          <w:b w:val="0"/>
          <w:bCs w:val="0"/>
          <w:color w:val="auto"/>
          <w:sz w:val="20"/>
          <w:szCs w:val="20"/>
          <w:u w:val="none"/>
        </w:rPr>
        <w:t>https://doi.org/10.1177/0018578719844704</w:t>
      </w:r>
      <w:r>
        <w:rPr>
          <w:rStyle w:val="14"/>
          <w:rFonts w:hint="default" w:ascii="Arial" w:hAnsi="Arial" w:eastAsia="Times New Roman" w:cs="Arial"/>
          <w:b w:val="0"/>
          <w:bCs w:val="0"/>
          <w:color w:val="auto"/>
          <w:sz w:val="20"/>
          <w:szCs w:val="20"/>
          <w:u w:val="none"/>
          <w:lang w:val="en-US"/>
        </w:rPr>
        <w:t>.</w:t>
      </w:r>
      <w:r>
        <w:rPr>
          <w:rFonts w:hint="default" w:ascii="Arial" w:hAnsi="Arial" w:eastAsia="Times New Roman" w:cs="Arial"/>
          <w:b w:val="0"/>
          <w:bCs w:val="0"/>
          <w:color w:val="auto"/>
          <w:sz w:val="20"/>
          <w:szCs w:val="20"/>
          <w:u w:val="none"/>
        </w:rPr>
        <w:fldChar w:fldCharType="end"/>
      </w:r>
    </w:p>
    <w:p w14:paraId="3C372CA0">
      <w:pPr>
        <w:keepNext w:val="0"/>
        <w:keepLines w:val="0"/>
        <w:pageBreakBefore w:val="0"/>
        <w:widowControl/>
        <w:numPr>
          <w:ilvl w:val="0"/>
          <w:numId w:val="1"/>
        </w:numPr>
        <w:tabs>
          <w:tab w:val="left" w:pos="240"/>
          <w:tab w:val="clear" w:pos="425"/>
        </w:tabs>
        <w:kinsoku/>
        <w:wordWrap/>
        <w:overflowPunct/>
        <w:topLinePunct w:val="0"/>
        <w:autoSpaceDE w:val="0"/>
        <w:autoSpaceDN w:val="0"/>
        <w:bidi w:val="0"/>
        <w:adjustRightInd/>
        <w:snapToGrid/>
        <w:spacing w:after="0" w:line="240" w:lineRule="auto"/>
        <w:ind w:left="425" w:leftChars="0" w:hanging="425" w:firstLineChars="0"/>
        <w:jc w:val="both"/>
        <w:textAlignment w:val="auto"/>
        <w:rPr>
          <w:rFonts w:hint="default" w:ascii="Arial" w:hAnsi="Arial" w:cs="Arial"/>
          <w:b w:val="0"/>
          <w:bCs w:val="0"/>
          <w:i w:val="0"/>
          <w:iCs w:val="0"/>
          <w:caps w:val="0"/>
          <w:color w:val="auto"/>
          <w:spacing w:val="0"/>
          <w:sz w:val="20"/>
          <w:szCs w:val="20"/>
        </w:rPr>
      </w:pPr>
      <w:r>
        <w:rPr>
          <w:rFonts w:hint="default" w:ascii="Arial" w:hAnsi="Arial" w:eastAsia="SimSun" w:cs="Arial"/>
          <w:b w:val="0"/>
          <w:bCs w:val="0"/>
          <w:sz w:val="20"/>
          <w:szCs w:val="20"/>
        </w:rPr>
        <w:t xml:space="preserve">Lexicomp. </w:t>
      </w:r>
      <w:r>
        <w:rPr>
          <w:rStyle w:val="13"/>
          <w:rFonts w:hint="default" w:ascii="Arial" w:hAnsi="Arial" w:eastAsia="SimSun" w:cs="Arial"/>
          <w:b w:val="0"/>
          <w:bCs w:val="0"/>
          <w:sz w:val="20"/>
          <w:szCs w:val="20"/>
        </w:rPr>
        <w:t>Lexicomp Online</w:t>
      </w:r>
      <w:r>
        <w:rPr>
          <w:rFonts w:hint="default" w:ascii="Arial" w:hAnsi="Arial" w:eastAsia="SimSun" w:cs="Arial"/>
          <w:b w:val="0"/>
          <w:bCs w:val="0"/>
          <w:sz w:val="20"/>
          <w:szCs w:val="20"/>
        </w:rPr>
        <w:t>. Wolters Kluwer Health, 2022. Accessed [</w:t>
      </w:r>
      <w:r>
        <w:rPr>
          <w:rStyle w:val="15"/>
          <w:rFonts w:hint="default" w:ascii="Arial" w:hAnsi="Arial" w:eastAsia="SimSun" w:cs="Arial"/>
          <w:b w:val="0"/>
          <w:bCs w:val="0"/>
          <w:sz w:val="20"/>
          <w:szCs w:val="20"/>
        </w:rPr>
        <w:t>6 January 2025</w:t>
      </w:r>
      <w:r>
        <w:rPr>
          <w:rFonts w:hint="default" w:ascii="Arial" w:hAnsi="Arial" w:eastAsia="SimSun" w:cs="Arial"/>
          <w:b w:val="0"/>
          <w:bCs w:val="0"/>
          <w:sz w:val="20"/>
          <w:szCs w:val="20"/>
        </w:rPr>
        <w:t>].</w:t>
      </w:r>
    </w:p>
    <w:p w14:paraId="533E8F80">
      <w:pPr>
        <w:keepNext w:val="0"/>
        <w:keepLines w:val="0"/>
        <w:pageBreakBefore w:val="0"/>
        <w:widowControl/>
        <w:numPr>
          <w:ilvl w:val="0"/>
          <w:numId w:val="1"/>
        </w:numPr>
        <w:tabs>
          <w:tab w:val="left" w:pos="240"/>
          <w:tab w:val="clear" w:pos="425"/>
        </w:tabs>
        <w:kinsoku/>
        <w:wordWrap/>
        <w:overflowPunct/>
        <w:topLinePunct w:val="0"/>
        <w:autoSpaceDE w:val="0"/>
        <w:autoSpaceDN w:val="0"/>
        <w:bidi w:val="0"/>
        <w:adjustRightInd/>
        <w:snapToGrid/>
        <w:spacing w:after="0" w:line="240" w:lineRule="auto"/>
        <w:ind w:left="245" w:leftChars="0" w:hanging="245" w:firstLineChars="0"/>
        <w:jc w:val="both"/>
        <w:textAlignment w:val="auto"/>
        <w:rPr>
          <w:rFonts w:ascii="Arial" w:hAnsi="Arial" w:cs="Arial"/>
          <w:b/>
          <w:bCs/>
          <w:sz w:val="20"/>
          <w:szCs w:val="20"/>
        </w:rPr>
      </w:pPr>
      <w:r>
        <w:rPr>
          <w:rFonts w:hint="default" w:ascii="Arial" w:hAnsi="Arial" w:cs="Arial"/>
          <w:b w:val="0"/>
          <w:bCs w:val="0"/>
          <w:color w:val="auto"/>
          <w:sz w:val="20"/>
          <w:szCs w:val="20"/>
          <w:lang w:val="en-US"/>
        </w:rPr>
        <w:t xml:space="preserve">Malkawi,W.A., Alrafayah, E., AlHazabreh,M., AbuLaila,S.,&amp; Al-Ghananeem,A.M. </w:t>
      </w:r>
      <w:r>
        <w:rPr>
          <w:rFonts w:hint="default" w:ascii="Arial" w:hAnsi="Arial" w:cs="Arial"/>
          <w:b w:val="0"/>
          <w:bCs w:val="0"/>
          <w:i w:val="0"/>
          <w:iCs w:val="0"/>
          <w:caps w:val="0"/>
          <w:color w:val="auto"/>
          <w:spacing w:val="0"/>
          <w:sz w:val="20"/>
          <w:szCs w:val="20"/>
          <w:shd w:val="clear" w:fill="FFFFFF"/>
        </w:rPr>
        <w:t>Formulation Challenges and Strategies to Develop Pediatric Dosage Forms</w:t>
      </w:r>
      <w:r>
        <w:rPr>
          <w:rFonts w:hint="default" w:ascii="Arial" w:hAnsi="Arial" w:cs="Arial"/>
          <w:b w:val="0"/>
          <w:bCs w:val="0"/>
          <w:i w:val="0"/>
          <w:iCs w:val="0"/>
          <w:caps w:val="0"/>
          <w:color w:val="auto"/>
          <w:spacing w:val="0"/>
          <w:sz w:val="20"/>
          <w:szCs w:val="20"/>
          <w:shd w:val="clear" w:fill="FFFFFF"/>
          <w:lang w:val="en-US"/>
        </w:rPr>
        <w:t xml:space="preserve">. </w:t>
      </w:r>
      <w:r>
        <w:rPr>
          <w:rStyle w:val="13"/>
          <w:rFonts w:hint="default" w:ascii="Arial" w:hAnsi="Arial" w:eastAsia="SimSun" w:cs="Arial"/>
          <w:b w:val="0"/>
          <w:bCs w:val="0"/>
          <w:i/>
          <w:iCs/>
          <w:caps w:val="0"/>
          <w:color w:val="auto"/>
          <w:spacing w:val="0"/>
          <w:sz w:val="20"/>
          <w:szCs w:val="20"/>
          <w:shd w:val="clear" w:fill="FFFFFF"/>
        </w:rPr>
        <w:t>Children</w:t>
      </w:r>
      <w:r>
        <w:rPr>
          <w:rFonts w:hint="default" w:ascii="Arial" w:hAnsi="Arial" w:eastAsia="SimSun" w:cs="Arial"/>
          <w:b w:val="0"/>
          <w:bCs w:val="0"/>
          <w:i w:val="0"/>
          <w:iCs w:val="0"/>
          <w:caps w:val="0"/>
          <w:color w:val="auto"/>
          <w:spacing w:val="0"/>
          <w:sz w:val="20"/>
          <w:szCs w:val="20"/>
          <w:shd w:val="clear" w:fill="FFFFFF"/>
        </w:rPr>
        <w:t> 2022, </w:t>
      </w:r>
      <w:r>
        <w:rPr>
          <w:rStyle w:val="13"/>
          <w:rFonts w:hint="default" w:ascii="Arial" w:hAnsi="Arial" w:eastAsia="SimSun" w:cs="Arial"/>
          <w:b w:val="0"/>
          <w:bCs w:val="0"/>
          <w:i/>
          <w:iCs/>
          <w:caps w:val="0"/>
          <w:color w:val="auto"/>
          <w:spacing w:val="0"/>
          <w:sz w:val="20"/>
          <w:szCs w:val="20"/>
          <w:shd w:val="clear" w:fill="FFFFFF"/>
        </w:rPr>
        <w:t>9</w:t>
      </w:r>
      <w:r>
        <w:rPr>
          <w:rFonts w:hint="default" w:ascii="Arial" w:hAnsi="Arial" w:eastAsia="SimSun" w:cs="Arial"/>
          <w:b w:val="0"/>
          <w:bCs w:val="0"/>
          <w:i w:val="0"/>
          <w:iCs w:val="0"/>
          <w:caps w:val="0"/>
          <w:color w:val="auto"/>
          <w:spacing w:val="0"/>
          <w:sz w:val="20"/>
          <w:szCs w:val="20"/>
          <w:shd w:val="clear" w:fill="FFFFFF"/>
        </w:rPr>
        <w:t>(4), 488; </w:t>
      </w:r>
      <w:r>
        <w:rPr>
          <w:rFonts w:hint="default" w:ascii="Arial" w:hAnsi="Arial" w:eastAsia="SimSun" w:cs="Arial"/>
          <w:b w:val="0"/>
          <w:bCs w:val="0"/>
          <w:i w:val="0"/>
          <w:iCs w:val="0"/>
          <w:caps w:val="0"/>
          <w:color w:val="auto"/>
          <w:spacing w:val="0"/>
          <w:sz w:val="20"/>
          <w:szCs w:val="20"/>
          <w:u w:val="none"/>
          <w:shd w:val="clear" w:fill="FFFFFF"/>
        </w:rPr>
        <w:fldChar w:fldCharType="begin"/>
      </w:r>
      <w:r>
        <w:rPr>
          <w:rFonts w:hint="default" w:ascii="Arial" w:hAnsi="Arial" w:eastAsia="SimSun" w:cs="Arial"/>
          <w:b w:val="0"/>
          <w:bCs w:val="0"/>
          <w:i w:val="0"/>
          <w:iCs w:val="0"/>
          <w:caps w:val="0"/>
          <w:color w:val="auto"/>
          <w:spacing w:val="0"/>
          <w:sz w:val="20"/>
          <w:szCs w:val="20"/>
          <w:u w:val="none"/>
          <w:shd w:val="clear" w:fill="FFFFFF"/>
        </w:rPr>
        <w:instrText xml:space="preserve"> HYPERLINK "https://doi.org/10.3390/children9040488" </w:instrText>
      </w:r>
      <w:r>
        <w:rPr>
          <w:rFonts w:hint="default" w:ascii="Arial" w:hAnsi="Arial" w:eastAsia="SimSun" w:cs="Arial"/>
          <w:b w:val="0"/>
          <w:bCs w:val="0"/>
          <w:i w:val="0"/>
          <w:iCs w:val="0"/>
          <w:caps w:val="0"/>
          <w:color w:val="auto"/>
          <w:spacing w:val="0"/>
          <w:sz w:val="20"/>
          <w:szCs w:val="20"/>
          <w:u w:val="none"/>
          <w:shd w:val="clear" w:fill="FFFFFF"/>
        </w:rPr>
        <w:fldChar w:fldCharType="separate"/>
      </w:r>
      <w:r>
        <w:rPr>
          <w:rStyle w:val="14"/>
          <w:rFonts w:hint="default" w:ascii="Arial" w:hAnsi="Arial" w:eastAsia="SimSun" w:cs="Arial"/>
          <w:b w:val="0"/>
          <w:bCs w:val="0"/>
          <w:i w:val="0"/>
          <w:iCs w:val="0"/>
          <w:caps w:val="0"/>
          <w:color w:val="auto"/>
          <w:spacing w:val="0"/>
          <w:sz w:val="20"/>
          <w:szCs w:val="20"/>
          <w:u w:val="none"/>
          <w:shd w:val="clear" w:fill="FFFFFF"/>
        </w:rPr>
        <w:t>https://doi.org/10.3390/children9040488</w:t>
      </w:r>
      <w:r>
        <w:rPr>
          <w:rFonts w:hint="default" w:ascii="Arial" w:hAnsi="Arial" w:eastAsia="SimSun" w:cs="Arial"/>
          <w:b w:val="0"/>
          <w:bCs w:val="0"/>
          <w:i w:val="0"/>
          <w:iCs w:val="0"/>
          <w:caps w:val="0"/>
          <w:color w:val="auto"/>
          <w:spacing w:val="0"/>
          <w:sz w:val="20"/>
          <w:szCs w:val="20"/>
          <w:u w:val="none"/>
          <w:shd w:val="clear" w:fill="FFFFFF"/>
        </w:rPr>
        <w:fldChar w:fldCharType="end"/>
      </w:r>
      <w:r>
        <w:rPr>
          <w:rFonts w:hint="default" w:ascii="Arial" w:hAnsi="Arial" w:eastAsia="SimSun" w:cs="Arial"/>
          <w:b w:val="0"/>
          <w:bCs w:val="0"/>
          <w:i w:val="0"/>
          <w:iCs w:val="0"/>
          <w:caps w:val="0"/>
          <w:color w:val="auto"/>
          <w:spacing w:val="0"/>
          <w:sz w:val="20"/>
          <w:szCs w:val="20"/>
          <w:u w:val="none"/>
          <w:shd w:val="clear" w:fill="FFFFFF"/>
          <w:lang w:val="en-US"/>
        </w:rPr>
        <w:t>.</w:t>
      </w:r>
    </w:p>
    <w:p w14:paraId="0DF7FAC0">
      <w:pPr>
        <w:keepNext w:val="0"/>
        <w:keepLines w:val="0"/>
        <w:pageBreakBefore w:val="0"/>
        <w:widowControl/>
        <w:numPr>
          <w:ilvl w:val="0"/>
          <w:numId w:val="1"/>
        </w:numPr>
        <w:tabs>
          <w:tab w:val="left" w:pos="240"/>
          <w:tab w:val="clear" w:pos="425"/>
        </w:tabs>
        <w:kinsoku/>
        <w:wordWrap/>
        <w:overflowPunct/>
        <w:topLinePunct w:val="0"/>
        <w:autoSpaceDE w:val="0"/>
        <w:autoSpaceDN w:val="0"/>
        <w:bidi w:val="0"/>
        <w:adjustRightInd/>
        <w:snapToGrid/>
        <w:spacing w:after="0" w:line="240" w:lineRule="auto"/>
        <w:ind w:left="245" w:leftChars="0" w:hanging="245" w:firstLineChars="0"/>
        <w:jc w:val="both"/>
        <w:textAlignment w:val="auto"/>
        <w:rPr>
          <w:rFonts w:ascii="Arial" w:hAnsi="Arial" w:cs="Arial"/>
          <w:b/>
          <w:bCs/>
          <w:sz w:val="20"/>
          <w:szCs w:val="20"/>
        </w:rPr>
      </w:pPr>
      <w:r>
        <w:rPr>
          <w:rFonts w:hint="default" w:ascii="Arial" w:hAnsi="Arial" w:eastAsia="SimSun" w:cs="Arial"/>
          <w:b w:val="0"/>
          <w:bCs w:val="0"/>
          <w:sz w:val="20"/>
          <w:szCs w:val="20"/>
        </w:rPr>
        <w:t>Pramita G. Dwipoerwantoro, Annisa R. Yulman</w:t>
      </w:r>
      <w:r>
        <w:rPr>
          <w:rFonts w:hint="default" w:ascii="Arial" w:hAnsi="Arial" w:eastAsia="SimSun" w:cs="Arial"/>
          <w:b w:val="0"/>
          <w:bCs w:val="0"/>
          <w:sz w:val="20"/>
          <w:szCs w:val="20"/>
          <w:lang w:val="en-US"/>
        </w:rPr>
        <w:t xml:space="preserve">. </w:t>
      </w:r>
      <w:r>
        <w:rPr>
          <w:rFonts w:hint="default" w:ascii="Arial" w:hAnsi="Arial" w:eastAsia="SimSun" w:cs="Arial"/>
          <w:b w:val="0"/>
          <w:bCs w:val="0"/>
          <w:sz w:val="20"/>
          <w:szCs w:val="20"/>
        </w:rPr>
        <w:t>The Use of Proton Pump Inhibitor Compare to that of H2–Reseptor Antagonist in a Child with Gastroesophageal Reflux Disease</w:t>
      </w:r>
      <w:r>
        <w:rPr>
          <w:rFonts w:hint="default" w:ascii="Arial" w:hAnsi="Arial" w:eastAsia="SimSun" w:cs="Arial"/>
          <w:b w:val="0"/>
          <w:bCs w:val="0"/>
          <w:sz w:val="20"/>
          <w:szCs w:val="20"/>
          <w:lang w:val="en-US"/>
        </w:rPr>
        <w:t xml:space="preserve">. </w:t>
      </w:r>
      <w:r>
        <w:rPr>
          <w:rFonts w:hint="default" w:ascii="Arial" w:hAnsi="Arial" w:eastAsia="SimSun" w:cs="Arial"/>
          <w:b w:val="0"/>
          <w:bCs w:val="0"/>
          <w:i/>
          <w:iCs/>
          <w:sz w:val="20"/>
          <w:szCs w:val="20"/>
        </w:rPr>
        <w:t>Sari Pediatri</w:t>
      </w:r>
      <w:r>
        <w:rPr>
          <w:rFonts w:hint="default" w:ascii="Arial" w:hAnsi="Arial" w:eastAsia="SimSun" w:cs="Arial"/>
          <w:b w:val="0"/>
          <w:bCs w:val="0"/>
          <w:sz w:val="20"/>
          <w:szCs w:val="20"/>
        </w:rPr>
        <w:t>, Vol. 20, No. 6, April 2019</w:t>
      </w:r>
      <w:r>
        <w:rPr>
          <w:rFonts w:hint="default" w:ascii="Arial" w:hAnsi="Arial" w:eastAsia="SimSun" w:cs="Arial"/>
          <w:b w:val="0"/>
          <w:bCs w:val="0"/>
          <w:sz w:val="20"/>
          <w:szCs w:val="20"/>
          <w:lang w:val="en-US"/>
        </w:rPr>
        <w:t>.</w:t>
      </w:r>
    </w:p>
    <w:p w14:paraId="68953754">
      <w:pPr>
        <w:keepNext w:val="0"/>
        <w:keepLines w:val="0"/>
        <w:pageBreakBefore w:val="0"/>
        <w:widowControl/>
        <w:numPr>
          <w:ilvl w:val="0"/>
          <w:numId w:val="0"/>
        </w:numPr>
        <w:tabs>
          <w:tab w:val="left" w:pos="240"/>
        </w:tabs>
        <w:kinsoku/>
        <w:wordWrap/>
        <w:overflowPunct/>
        <w:topLinePunct w:val="0"/>
        <w:autoSpaceDE w:val="0"/>
        <w:autoSpaceDN w:val="0"/>
        <w:bidi w:val="0"/>
        <w:adjustRightInd/>
        <w:snapToGrid/>
        <w:spacing w:after="0" w:line="240" w:lineRule="auto"/>
        <w:ind w:leftChars="0"/>
        <w:jc w:val="both"/>
        <w:textAlignment w:val="auto"/>
        <w:rPr>
          <w:rFonts w:ascii="Arial" w:hAnsi="Arial" w:cs="Arial"/>
          <w:b/>
          <w:bCs/>
          <w:sz w:val="20"/>
          <w:szCs w:val="20"/>
        </w:rPr>
      </w:pPr>
    </w:p>
    <w:p w14:paraId="320E657E">
      <w:pPr>
        <w:jc w:val="both"/>
        <w:rPr>
          <w:rFonts w:ascii="Arial" w:hAnsi="Arial" w:cs="Arial"/>
          <w:sz w:val="20"/>
          <w:szCs w:val="20"/>
        </w:rPr>
      </w:pPr>
      <w:r>
        <w:rPr>
          <w:rFonts w:ascii="Arial" w:hAnsi="Arial" w:cs="Arial"/>
          <w:b/>
          <w:bCs/>
          <w:sz w:val="20"/>
          <w:szCs w:val="20"/>
        </w:rPr>
        <w:t>Acknowledgement</w:t>
      </w:r>
      <w:r>
        <w:rPr>
          <w:rFonts w:ascii="Arial" w:hAnsi="Arial" w:cs="Arial"/>
          <w:sz w:val="20"/>
          <w:szCs w:val="20"/>
        </w:rPr>
        <w:br w:type="textWrapping"/>
      </w:r>
      <w:r>
        <w:rPr>
          <w:rFonts w:ascii="Arial" w:hAnsi="Arial" w:cs="Arial"/>
          <w:sz w:val="20"/>
          <w:szCs w:val="20"/>
        </w:rPr>
        <w:t>The authors would like to express their sincere gratitude to the Drug Formulation Laboratory, Faculty of Pharmacy, Universit</w:t>
      </w:r>
      <w:r>
        <w:rPr>
          <w:rFonts w:hint="default" w:ascii="Arial" w:hAnsi="Arial" w:cs="Arial"/>
          <w:sz w:val="20"/>
          <w:szCs w:val="20"/>
          <w:lang w:val="en-US"/>
        </w:rPr>
        <w:t>y of</w:t>
      </w:r>
      <w:bookmarkStart w:id="0" w:name="_GoBack"/>
      <w:bookmarkEnd w:id="0"/>
      <w:r>
        <w:rPr>
          <w:rFonts w:ascii="Arial" w:hAnsi="Arial" w:cs="Arial"/>
          <w:sz w:val="20"/>
          <w:szCs w:val="20"/>
        </w:rPr>
        <w:t xml:space="preserve"> Syiah Kuala, for the technical assistance provided throughout this research. Special thanks are also extended to the pharmacy colleagues at Zainoel Abidin Hospital for their continuous support and collaboration during the study.</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Yu Gothic Light">
    <w:panose1 w:val="020B03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789CE"/>
    <w:multiLevelType w:val="singleLevel"/>
    <w:tmpl w:val="E68789CE"/>
    <w:lvl w:ilvl="0" w:tentative="0">
      <w:start w:val="1"/>
      <w:numFmt w:val="decimal"/>
      <w:lvlText w:val="%1)"/>
      <w:lvlJc w:val="left"/>
      <w:pPr>
        <w:tabs>
          <w:tab w:val="left" w:pos="425"/>
        </w:tabs>
        <w:ind w:left="425" w:leftChars="0" w:hanging="425" w:firstLineChars="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D2"/>
    <w:rsid w:val="00107368"/>
    <w:rsid w:val="00113BB7"/>
    <w:rsid w:val="00130CE5"/>
    <w:rsid w:val="001602E6"/>
    <w:rsid w:val="001B105E"/>
    <w:rsid w:val="002017E6"/>
    <w:rsid w:val="00294059"/>
    <w:rsid w:val="003206E4"/>
    <w:rsid w:val="00383B15"/>
    <w:rsid w:val="003A6D5C"/>
    <w:rsid w:val="004473CF"/>
    <w:rsid w:val="004A51B6"/>
    <w:rsid w:val="004D4FAF"/>
    <w:rsid w:val="00505A8D"/>
    <w:rsid w:val="00510CF8"/>
    <w:rsid w:val="00575A29"/>
    <w:rsid w:val="00601754"/>
    <w:rsid w:val="006A34BE"/>
    <w:rsid w:val="006E3996"/>
    <w:rsid w:val="006F3F1C"/>
    <w:rsid w:val="007141F2"/>
    <w:rsid w:val="007561D8"/>
    <w:rsid w:val="007836DC"/>
    <w:rsid w:val="00795378"/>
    <w:rsid w:val="00796206"/>
    <w:rsid w:val="007C367E"/>
    <w:rsid w:val="007C4A26"/>
    <w:rsid w:val="008071C5"/>
    <w:rsid w:val="00860213"/>
    <w:rsid w:val="008634AE"/>
    <w:rsid w:val="00867B8D"/>
    <w:rsid w:val="00906D34"/>
    <w:rsid w:val="00933DC9"/>
    <w:rsid w:val="00936D4C"/>
    <w:rsid w:val="009523F9"/>
    <w:rsid w:val="00961A5B"/>
    <w:rsid w:val="009650DF"/>
    <w:rsid w:val="009B1CBB"/>
    <w:rsid w:val="00A0516D"/>
    <w:rsid w:val="00A97D12"/>
    <w:rsid w:val="00B4721D"/>
    <w:rsid w:val="00B8473A"/>
    <w:rsid w:val="00BD48A9"/>
    <w:rsid w:val="00C21815"/>
    <w:rsid w:val="00C315D2"/>
    <w:rsid w:val="00C353D8"/>
    <w:rsid w:val="00C54F41"/>
    <w:rsid w:val="00CF5A91"/>
    <w:rsid w:val="00D02BB1"/>
    <w:rsid w:val="00D45A74"/>
    <w:rsid w:val="00D7428F"/>
    <w:rsid w:val="00D75E25"/>
    <w:rsid w:val="00EC3746"/>
    <w:rsid w:val="00F539FB"/>
    <w:rsid w:val="00F54162"/>
    <w:rsid w:val="00F85528"/>
    <w:rsid w:val="19830B50"/>
    <w:rsid w:val="2021B9E9"/>
    <w:rsid w:val="23CA25E7"/>
    <w:rsid w:val="294861D5"/>
    <w:rsid w:val="4477425C"/>
    <w:rsid w:val="4FE71DF4"/>
    <w:rsid w:val="50620F92"/>
    <w:rsid w:val="5E2C5F31"/>
    <w:rsid w:val="74C238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AU"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qFormat/>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1"/>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1"/>
    <w:basedOn w:val="11"/>
    <w:qFormat/>
    <w:uiPriority w:val="32"/>
    <w:rPr>
      <w:b/>
      <w:bCs/>
      <w:smallCaps/>
      <w:color w:val="104862" w:themeColor="accent1" w:themeShade="BF"/>
      <w:spacing w:val="5"/>
    </w:rPr>
  </w:style>
  <w:style w:type="character" w:styleId="36">
    <w:name w:val="Placeholder Text"/>
    <w:basedOn w:val="11"/>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1FFED-D8DC-4BB4-A87D-8F9B24F12343}">
  <ds:schemaRefs/>
</ds:datastoreItem>
</file>

<file path=customXml/itemProps2.xml><?xml version="1.0" encoding="utf-8"?>
<ds:datastoreItem xmlns:ds="http://schemas.openxmlformats.org/officeDocument/2006/customXml" ds:itemID="{3C4A3A71-59EB-4D37-B60C-752E21A3FD6C}">
  <ds:schemaRefs/>
</ds:datastoreItem>
</file>

<file path=customXml/itemProps3.xml><?xml version="1.0" encoding="utf-8"?>
<ds:datastoreItem xmlns:ds="http://schemas.openxmlformats.org/officeDocument/2006/customXml" ds:itemID="{130FB8FF-F624-4CD8-B1B7-331FFFAAAFAC}">
  <ds:schemaRefs/>
</ds:datastoreItem>
</file>

<file path=customXml/itemProps4.xml><?xml version="1.0" encoding="utf-8"?>
<ds:datastoreItem xmlns:ds="http://schemas.openxmlformats.org/officeDocument/2006/customXml" ds:itemID="{31DDCDBB-A434-4396-8F0D-5A6A543FC4D6}">
  <ds:schemaRefs/>
</ds:datastoreItem>
</file>

<file path=docProps/app.xml><?xml version="1.0" encoding="utf-8"?>
<Properties xmlns="http://schemas.openxmlformats.org/officeDocument/2006/extended-properties" xmlns:vt="http://schemas.openxmlformats.org/officeDocument/2006/docPropsVTypes">
  <Template>Normal</Template>
  <Pages>1</Pages>
  <Words>464</Words>
  <Characters>2649</Characters>
  <Lines>22</Lines>
  <Paragraphs>6</Paragraphs>
  <TotalTime>40</TotalTime>
  <ScaleCrop>false</ScaleCrop>
  <LinksUpToDate>false</LinksUpToDate>
  <CharactersWithSpaces>3107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2025-03-11T02:17:00Z</dcterms:created>
  <dc:creator>Thanh Phan</dc:creator>
  <cp:lastModifiedBy>Yunieta Sufiana</cp:lastModifiedBy>
  <dcterms:modified xsi:type="dcterms:W3CDTF">2025-05-30T13:07:45Z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EA98007572D54FE2AABE9A6B989A5AA1_12</vt:lpwstr>
  </property>
</Properties>
</file>