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7CC01" w14:textId="77777777" w:rsidR="00294337" w:rsidRPr="00294337" w:rsidRDefault="00294337" w:rsidP="00294337">
      <w:pPr>
        <w:widowControl w:val="0"/>
        <w:autoSpaceDE w:val="0"/>
        <w:autoSpaceDN w:val="0"/>
        <w:adjustRightInd w:val="0"/>
        <w:spacing w:after="240" w:line="440" w:lineRule="atLeast"/>
        <w:jc w:val="both"/>
        <w:rPr>
          <w:rFonts w:ascii="Arial" w:hAnsi="Arial" w:cs="Arial"/>
          <w:kern w:val="0"/>
          <w:lang w:val="en-US"/>
        </w:rPr>
      </w:pPr>
      <w:r w:rsidRPr="00294337">
        <w:rPr>
          <w:rFonts w:ascii="Arial" w:hAnsi="Arial" w:cs="Arial"/>
          <w:b/>
          <w:bCs/>
          <w:kern w:val="0"/>
          <w:lang w:val="en-US"/>
        </w:rPr>
        <w:t xml:space="preserve">Engineering Novel Xerogels for Colon Targeting: Determination of Strain Sweeps </w:t>
      </w:r>
    </w:p>
    <w:p w14:paraId="79141BD9" w14:textId="491A8255" w:rsidR="00C315D2" w:rsidRPr="00C315D2" w:rsidRDefault="009B7079"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Partha Sarathi Roy</w:t>
      </w:r>
      <w:r w:rsidRPr="009B7079">
        <w:rPr>
          <w:rFonts w:ascii="Arial" w:eastAsia="Calibri" w:hAnsi="Arial" w:cs="Calibri"/>
          <w:b/>
          <w:kern w:val="0"/>
          <w:sz w:val="20"/>
          <w:szCs w:val="20"/>
          <w:u w:val="single"/>
          <w:vertAlign w:val="superscript"/>
          <w14:ligatures w14:val="none"/>
        </w:rPr>
        <w:t>1</w:t>
      </w:r>
    </w:p>
    <w:p w14:paraId="2DD37039" w14:textId="60D03E37" w:rsidR="00C315D2" w:rsidRDefault="009B7079" w:rsidP="00C315D2">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Department of Pharmaceutical Chemistry</w:t>
      </w:r>
      <w:r w:rsidR="00C315D2" w:rsidRPr="00C315D2">
        <w:rPr>
          <w:rFonts w:ascii="Arial" w:eastAsia="Calibri" w:hAnsi="Arial" w:cs="Calibri"/>
          <w:bCs/>
          <w:kern w:val="0"/>
          <w:sz w:val="20"/>
          <w:szCs w:val="20"/>
          <w14:ligatures w14:val="none"/>
        </w:rPr>
        <w:t>,</w:t>
      </w:r>
      <w:r w:rsidR="00732284">
        <w:rPr>
          <w:rFonts w:ascii="Arial" w:eastAsia="Calibri" w:hAnsi="Arial" w:cs="Calibri"/>
          <w:bCs/>
          <w:kern w:val="0"/>
          <w:sz w:val="20"/>
          <w:szCs w:val="20"/>
          <w14:ligatures w14:val="none"/>
        </w:rPr>
        <w:t xml:space="preserve"> School of Pharmacy</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Sister Nivedita University</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Kolkata</w:t>
      </w:r>
      <w:r w:rsidR="00C315D2" w:rsidRPr="00C315D2">
        <w:rPr>
          <w:rFonts w:ascii="Arial" w:eastAsia="Calibri" w:hAnsi="Arial" w:cs="Calibri"/>
          <w:bCs/>
          <w:kern w:val="0"/>
          <w:sz w:val="20"/>
          <w:szCs w:val="20"/>
          <w14:ligatures w14:val="none"/>
        </w:rPr>
        <w:t xml:space="preserve">, </w:t>
      </w:r>
      <w:r>
        <w:rPr>
          <w:rFonts w:ascii="Arial" w:eastAsia="Calibri" w:hAnsi="Arial" w:cs="Calibri"/>
          <w:kern w:val="0"/>
          <w:sz w:val="20"/>
          <w:szCs w:val="20"/>
          <w14:ligatures w14:val="none"/>
        </w:rPr>
        <w:t>West Bengal</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India</w:t>
      </w:r>
    </w:p>
    <w:p w14:paraId="109D8B29" w14:textId="77777777" w:rsidR="00860374" w:rsidRPr="00C315D2" w:rsidRDefault="00860374" w:rsidP="00C315D2">
      <w:pPr>
        <w:spacing w:after="0" w:line="240" w:lineRule="auto"/>
        <w:rPr>
          <w:rFonts w:ascii="Arial" w:eastAsia="Calibri" w:hAnsi="Arial" w:cs="Calibri"/>
          <w:bCs/>
          <w:kern w:val="0"/>
          <w:sz w:val="20"/>
          <w:szCs w:val="20"/>
          <w14:ligatures w14:val="none"/>
        </w:rPr>
      </w:pPr>
    </w:p>
    <w:p w14:paraId="55E1DA43" w14:textId="77777777" w:rsidR="00294337" w:rsidRDefault="00B8473A" w:rsidP="00294337">
      <w:pPr>
        <w:widowControl w:val="0"/>
        <w:autoSpaceDE w:val="0"/>
        <w:autoSpaceDN w:val="0"/>
        <w:adjustRightInd w:val="0"/>
        <w:spacing w:after="240" w:line="360" w:lineRule="atLeast"/>
        <w:jc w:val="both"/>
        <w:rPr>
          <w:rFonts w:ascii="Times" w:hAnsi="Times" w:cs="Times"/>
          <w:kern w:val="0"/>
          <w:lang w:val="en-US"/>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proofErr w:type="gramStart"/>
      <w:r w:rsidR="00294337" w:rsidRPr="00294337">
        <w:rPr>
          <w:rFonts w:ascii="Arial" w:hAnsi="Arial" w:cs="Arial"/>
          <w:kern w:val="0"/>
          <w:sz w:val="20"/>
          <w:szCs w:val="20"/>
          <w:lang w:val="en-US"/>
        </w:rPr>
        <w:t>In order to</w:t>
      </w:r>
      <w:proofErr w:type="gramEnd"/>
      <w:r w:rsidR="00294337" w:rsidRPr="00294337">
        <w:rPr>
          <w:rFonts w:ascii="Arial" w:hAnsi="Arial" w:cs="Arial"/>
          <w:kern w:val="0"/>
          <w:sz w:val="20"/>
          <w:szCs w:val="20"/>
          <w:lang w:val="en-US"/>
        </w:rPr>
        <w:t xml:space="preserve"> explore new options for colon targeting, this study designs new polyelectrolyte complex (PEC) coacervate xerogels of chitosan (Ch) with </w:t>
      </w:r>
      <w:r w:rsidR="00294337" w:rsidRPr="00294337">
        <w:rPr>
          <w:rFonts w:ascii="Arial" w:hAnsi="Arial" w:cs="Arial"/>
          <w:i/>
          <w:iCs/>
          <w:kern w:val="0"/>
          <w:sz w:val="20"/>
          <w:szCs w:val="20"/>
          <w:lang w:val="en-US"/>
        </w:rPr>
        <w:t xml:space="preserve">Albizia </w:t>
      </w:r>
      <w:proofErr w:type="spellStart"/>
      <w:r w:rsidR="00294337" w:rsidRPr="00294337">
        <w:rPr>
          <w:rFonts w:ascii="Arial" w:hAnsi="Arial" w:cs="Arial"/>
          <w:i/>
          <w:iCs/>
          <w:kern w:val="0"/>
          <w:sz w:val="20"/>
          <w:szCs w:val="20"/>
          <w:lang w:val="en-US"/>
        </w:rPr>
        <w:t>procera</w:t>
      </w:r>
      <w:proofErr w:type="spellEnd"/>
      <w:r w:rsidR="00294337" w:rsidRPr="00294337">
        <w:rPr>
          <w:rFonts w:ascii="Arial" w:hAnsi="Arial" w:cs="Arial"/>
          <w:i/>
          <w:iCs/>
          <w:kern w:val="0"/>
          <w:sz w:val="20"/>
          <w:szCs w:val="20"/>
          <w:lang w:val="en-US"/>
        </w:rPr>
        <w:t xml:space="preserve"> </w:t>
      </w:r>
      <w:r w:rsidR="00294337" w:rsidRPr="00294337">
        <w:rPr>
          <w:rFonts w:ascii="Arial" w:hAnsi="Arial" w:cs="Arial"/>
          <w:kern w:val="0"/>
          <w:sz w:val="20"/>
          <w:szCs w:val="20"/>
          <w:lang w:val="en-US"/>
        </w:rPr>
        <w:t xml:space="preserve">(AP). Rheological characterizations experiments were carried out for the pH independent coacervates and 1:5 coacervate was found to </w:t>
      </w:r>
      <w:proofErr w:type="gramStart"/>
      <w:r w:rsidR="00294337" w:rsidRPr="00294337">
        <w:rPr>
          <w:rFonts w:ascii="Arial" w:hAnsi="Arial" w:cs="Arial"/>
          <w:kern w:val="0"/>
          <w:sz w:val="20"/>
          <w:szCs w:val="20"/>
          <w:lang w:val="en-US"/>
        </w:rPr>
        <w:t>be having</w:t>
      </w:r>
      <w:proofErr w:type="gramEnd"/>
      <w:r w:rsidR="00294337" w:rsidRPr="00294337">
        <w:rPr>
          <w:rFonts w:ascii="Arial" w:hAnsi="Arial" w:cs="Arial"/>
          <w:kern w:val="0"/>
          <w:sz w:val="20"/>
          <w:szCs w:val="20"/>
          <w:lang w:val="en-US"/>
        </w:rPr>
        <w:t xml:space="preserve"> the highest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value in the strain sweep experiment. In the frequency sweep experiments the coacervate (1:5) with the highest storage modulus (G</w:t>
      </w:r>
      <w:r w:rsidR="00294337" w:rsidRPr="00294337">
        <w:rPr>
          <w:rFonts w:ascii="Arial" w:hAnsi="Arial" w:cs="Arial"/>
          <w:kern w:val="0"/>
          <w:position w:val="13"/>
          <w:sz w:val="20"/>
          <w:szCs w:val="20"/>
          <w:lang w:val="en-US"/>
        </w:rPr>
        <w:t>/</w:t>
      </w:r>
      <w:r w:rsidR="00294337" w:rsidRPr="00294337">
        <w:rPr>
          <w:rFonts w:ascii="Arial" w:hAnsi="Arial" w:cs="Arial"/>
          <w:kern w:val="0"/>
          <w:sz w:val="20"/>
          <w:szCs w:val="20"/>
          <w:lang w:val="en-US"/>
        </w:rPr>
        <w:t>) values was produced at pH 4.5.</w:t>
      </w:r>
      <w:r w:rsidR="00294337">
        <w:rPr>
          <w:rFonts w:ascii="Times New Roman" w:hAnsi="Times New Roman" w:cs="Times New Roman"/>
          <w:kern w:val="0"/>
          <w:sz w:val="32"/>
          <w:szCs w:val="32"/>
          <w:lang w:val="en-US"/>
        </w:rPr>
        <w:t xml:space="preserve"> </w:t>
      </w:r>
    </w:p>
    <w:p w14:paraId="45B2FD7E" w14:textId="77777777" w:rsidR="00294337" w:rsidRPr="00294337" w:rsidRDefault="00C315D2" w:rsidP="00294337">
      <w:pPr>
        <w:widowControl w:val="0"/>
        <w:autoSpaceDE w:val="0"/>
        <w:autoSpaceDN w:val="0"/>
        <w:adjustRightInd w:val="0"/>
        <w:spacing w:after="240" w:line="360" w:lineRule="atLeast"/>
        <w:jc w:val="both"/>
        <w:rPr>
          <w:rFonts w:ascii="Arial" w:hAnsi="Arial" w:cs="Arial"/>
          <w:kern w:val="0"/>
          <w:sz w:val="20"/>
          <w:szCs w:val="20"/>
          <w:lang w:val="en-US"/>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294337" w:rsidRPr="00294337">
        <w:rPr>
          <w:rFonts w:ascii="Arial" w:hAnsi="Arial" w:cs="Arial"/>
          <w:kern w:val="0"/>
          <w:sz w:val="20"/>
          <w:szCs w:val="20"/>
          <w:lang w:val="en-US"/>
        </w:rPr>
        <w:t xml:space="preserve">Using cone plate geometry on a </w:t>
      </w:r>
      <w:proofErr w:type="spellStart"/>
      <w:r w:rsidR="00294337" w:rsidRPr="00294337">
        <w:rPr>
          <w:rFonts w:ascii="Arial" w:hAnsi="Arial" w:cs="Arial"/>
          <w:kern w:val="0"/>
          <w:sz w:val="20"/>
          <w:szCs w:val="20"/>
          <w:lang w:val="en-US"/>
        </w:rPr>
        <w:t>peltier</w:t>
      </w:r>
      <w:proofErr w:type="spellEnd"/>
      <w:r w:rsidR="00294337" w:rsidRPr="00294337">
        <w:rPr>
          <w:rFonts w:ascii="Arial" w:hAnsi="Arial" w:cs="Arial"/>
          <w:kern w:val="0"/>
          <w:sz w:val="20"/>
          <w:szCs w:val="20"/>
          <w:lang w:val="en-US"/>
        </w:rPr>
        <w:t xml:space="preserve"> plate, rheological tests of the coacervates were conducted using an Anton Paar rheometer. Cone dimensions were 40 mm in diameter, 4</w:t>
      </w:r>
      <w:r w:rsidR="00294337" w:rsidRPr="00294337">
        <w:rPr>
          <w:rFonts w:ascii="Arial" w:hAnsi="Arial" w:cs="Arial"/>
          <w:kern w:val="0"/>
          <w:position w:val="13"/>
          <w:sz w:val="20"/>
          <w:szCs w:val="20"/>
          <w:lang w:val="en-US"/>
        </w:rPr>
        <w:t xml:space="preserve">0 </w:t>
      </w:r>
      <w:r w:rsidR="00294337" w:rsidRPr="00294337">
        <w:rPr>
          <w:rFonts w:ascii="Arial" w:hAnsi="Arial" w:cs="Arial"/>
          <w:kern w:val="0"/>
          <w:sz w:val="20"/>
          <w:szCs w:val="20"/>
          <w:lang w:val="en-US"/>
        </w:rPr>
        <w:t>00</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22</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 xml:space="preserve">in cone angle, and 121 </w:t>
      </w:r>
      <w:proofErr w:type="spellStart"/>
      <w:r w:rsidR="00294337" w:rsidRPr="00294337">
        <w:rPr>
          <w:rFonts w:ascii="Arial" w:hAnsi="Arial" w:cs="Arial"/>
          <w:kern w:val="0"/>
          <w:sz w:val="20"/>
          <w:szCs w:val="20"/>
          <w:lang w:val="en-US"/>
        </w:rPr>
        <w:t>μm</w:t>
      </w:r>
      <w:proofErr w:type="spellEnd"/>
      <w:r w:rsidR="00294337" w:rsidRPr="00294337">
        <w:rPr>
          <w:rFonts w:ascii="Arial" w:hAnsi="Arial" w:cs="Arial"/>
          <w:kern w:val="0"/>
          <w:sz w:val="20"/>
          <w:szCs w:val="20"/>
          <w:lang w:val="en-US"/>
        </w:rPr>
        <w:t xml:space="preserve"> in truncation. At 25 °C, the trials were conducted. We encased the sample chamber inside a box with a single hole for the sample cell axis and continuously supplied nitrogen gas flow into the box since it was challenging to enclose the entire rheometer in a glovebox in an inert atmosphere. There were two different kinds of studies carried out: a % strain sweep and a frequency sweep. To identify the linear viscoelastic zone, the amplitude strain sweeps (0.1−100%) were examined at an angular frequency (ω) of 10 rad s</w:t>
      </w:r>
      <w:r w:rsidR="00294337" w:rsidRPr="00294337">
        <w:rPr>
          <w:rFonts w:ascii="Arial" w:hAnsi="Arial" w:cs="Arial"/>
          <w:kern w:val="0"/>
          <w:position w:val="13"/>
          <w:sz w:val="20"/>
          <w:szCs w:val="20"/>
          <w:lang w:val="en-US"/>
        </w:rPr>
        <w:t>−1</w:t>
      </w:r>
      <w:r w:rsidR="00294337" w:rsidRPr="00294337">
        <w:rPr>
          <w:rFonts w:ascii="Arial" w:hAnsi="Arial" w:cs="Arial"/>
          <w:kern w:val="0"/>
          <w:sz w:val="20"/>
          <w:szCs w:val="20"/>
          <w:lang w:val="en-US"/>
        </w:rPr>
        <w:t>. When the value of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or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 xml:space="preserve">did not change for at least three consecutive experimental points as the strain percent increased, the region was deemed linear viscoelastic on the modulus−strain percent plots. The nonlinear viscoelastic region was thought to have begun at the linear viscoelastic region's final experimental point. It was determined that the modulus- strain percent curve's steepest downward inflection point began to characterize the </w:t>
      </w:r>
      <w:proofErr w:type="spellStart"/>
      <w:r w:rsidR="00294337" w:rsidRPr="00294337">
        <w:rPr>
          <w:rFonts w:ascii="Arial" w:hAnsi="Arial" w:cs="Arial"/>
          <w:kern w:val="0"/>
          <w:sz w:val="20"/>
          <w:szCs w:val="20"/>
          <w:lang w:val="en-US"/>
        </w:rPr>
        <w:t>nonviscoelastic</w:t>
      </w:r>
      <w:proofErr w:type="spellEnd"/>
      <w:r w:rsidR="00294337" w:rsidRPr="00294337">
        <w:rPr>
          <w:rFonts w:ascii="Arial" w:hAnsi="Arial" w:cs="Arial"/>
          <w:kern w:val="0"/>
          <w:sz w:val="20"/>
          <w:szCs w:val="20"/>
          <w:lang w:val="en-US"/>
        </w:rPr>
        <w:t xml:space="preserve"> zone the best. The frequency sweep studies were conducted within an expanded 0.1−100 rad s</w:t>
      </w:r>
      <w:r w:rsidR="00294337" w:rsidRPr="00294337">
        <w:rPr>
          <w:rFonts w:ascii="Arial" w:hAnsi="Arial" w:cs="Arial"/>
          <w:kern w:val="0"/>
          <w:position w:val="13"/>
          <w:sz w:val="20"/>
          <w:szCs w:val="20"/>
          <w:lang w:val="en-US"/>
        </w:rPr>
        <w:t xml:space="preserve">−1 </w:t>
      </w:r>
      <w:r w:rsidR="00294337" w:rsidRPr="00294337">
        <w:rPr>
          <w:rFonts w:ascii="Arial" w:hAnsi="Arial" w:cs="Arial"/>
          <w:kern w:val="0"/>
          <w:sz w:val="20"/>
          <w:szCs w:val="20"/>
          <w:lang w:val="en-US"/>
        </w:rPr>
        <w:t xml:space="preserve">angular frequency (ω) domain. The equipment software yielded the storage </w:t>
      </w:r>
      <w:proofErr w:type="gramStart"/>
      <w:r w:rsidR="00294337" w:rsidRPr="00294337">
        <w:rPr>
          <w:rFonts w:ascii="Arial" w:hAnsi="Arial" w:cs="Arial"/>
          <w:kern w:val="0"/>
          <w:sz w:val="20"/>
          <w:szCs w:val="20"/>
          <w:lang w:val="en-US"/>
        </w:rPr>
        <w:t>modulus</w:t>
      </w:r>
      <w:proofErr w:type="gramEnd"/>
      <w:r w:rsidR="00294337" w:rsidRPr="00294337">
        <w:rPr>
          <w:rFonts w:ascii="Arial" w:hAnsi="Arial" w:cs="Arial"/>
          <w:kern w:val="0"/>
          <w:sz w:val="20"/>
          <w:szCs w:val="20"/>
          <w:lang w:val="en-US"/>
        </w:rPr>
        <w:t xml:space="preserve"> (G</w:t>
      </w:r>
      <w:r w:rsidR="00294337" w:rsidRPr="00294337">
        <w:rPr>
          <w:rFonts w:ascii="Arial" w:hAnsi="Arial" w:cs="Arial"/>
          <w:kern w:val="0"/>
          <w:position w:val="13"/>
          <w:sz w:val="20"/>
          <w:szCs w:val="20"/>
          <w:lang w:val="en-US"/>
        </w:rPr>
        <w:t>/</w:t>
      </w:r>
      <w:r w:rsidR="00294337" w:rsidRPr="00294337">
        <w:rPr>
          <w:rFonts w:ascii="Arial" w:hAnsi="Arial" w:cs="Arial"/>
          <w:kern w:val="0"/>
          <w:sz w:val="20"/>
          <w:szCs w:val="20"/>
          <w:lang w:val="en-US"/>
        </w:rPr>
        <w:t xml:space="preserve">) and the loss </w:t>
      </w:r>
      <w:proofErr w:type="gramStart"/>
      <w:r w:rsidR="00294337" w:rsidRPr="00294337">
        <w:rPr>
          <w:rFonts w:ascii="Arial" w:hAnsi="Arial" w:cs="Arial"/>
          <w:kern w:val="0"/>
          <w:sz w:val="20"/>
          <w:szCs w:val="20"/>
          <w:lang w:val="en-US"/>
        </w:rPr>
        <w:t>modulus</w:t>
      </w:r>
      <w:proofErr w:type="gramEnd"/>
      <w:r w:rsidR="00294337" w:rsidRPr="00294337">
        <w:rPr>
          <w:rFonts w:ascii="Arial" w:hAnsi="Arial" w:cs="Arial"/>
          <w:kern w:val="0"/>
          <w:sz w:val="20"/>
          <w:szCs w:val="20"/>
          <w:lang w:val="en-US"/>
        </w:rPr>
        <w:t xml:space="preserve"> (G</w:t>
      </w:r>
      <w:r w:rsidR="00294337" w:rsidRPr="00294337">
        <w:rPr>
          <w:rFonts w:ascii="Arial" w:hAnsi="Arial" w:cs="Arial"/>
          <w:kern w:val="0"/>
          <w:position w:val="13"/>
          <w:sz w:val="20"/>
          <w:szCs w:val="20"/>
          <w:lang w:val="en-US"/>
        </w:rPr>
        <w:t>//</w:t>
      </w:r>
      <w:r w:rsidR="00294337" w:rsidRPr="00294337">
        <w:rPr>
          <w:rFonts w:ascii="Arial" w:hAnsi="Arial" w:cs="Arial"/>
          <w:kern w:val="0"/>
          <w:sz w:val="20"/>
          <w:szCs w:val="20"/>
          <w:lang w:val="en-US"/>
        </w:rPr>
        <w:t>) in every scenario. The experimental data was plotted using Origin Scientific Graphing and Analysis Software version 8.5 (</w:t>
      </w:r>
      <w:proofErr w:type="spellStart"/>
      <w:r w:rsidR="00294337" w:rsidRPr="00294337">
        <w:rPr>
          <w:rFonts w:ascii="Arial" w:hAnsi="Arial" w:cs="Arial"/>
          <w:kern w:val="0"/>
          <w:sz w:val="20"/>
          <w:szCs w:val="20"/>
          <w:lang w:val="en-US"/>
        </w:rPr>
        <w:t>OriginLab</w:t>
      </w:r>
      <w:proofErr w:type="spellEnd"/>
      <w:r w:rsidR="00294337" w:rsidRPr="00294337">
        <w:rPr>
          <w:rFonts w:ascii="Arial" w:hAnsi="Arial" w:cs="Arial"/>
          <w:kern w:val="0"/>
          <w:sz w:val="20"/>
          <w:szCs w:val="20"/>
          <w:lang w:val="en-US"/>
        </w:rPr>
        <w:t xml:space="preserve"> Corp., Northampton, MA, USA) to create plots of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 strain %,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−strain %,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−ω, and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 xml:space="preserve">−ω. </w:t>
      </w:r>
    </w:p>
    <w:p w14:paraId="5AC174BD" w14:textId="4A44C6C4" w:rsidR="00294337" w:rsidRPr="00CE482A" w:rsidRDefault="00795378" w:rsidP="00CE482A">
      <w:pPr>
        <w:widowControl w:val="0"/>
        <w:autoSpaceDE w:val="0"/>
        <w:autoSpaceDN w:val="0"/>
        <w:adjustRightInd w:val="0"/>
        <w:spacing w:after="240" w:line="360" w:lineRule="atLeast"/>
        <w:jc w:val="both"/>
        <w:rPr>
          <w:rFonts w:ascii="Times" w:hAnsi="Times" w:cs="Times"/>
          <w:kern w:val="0"/>
          <w:lang w:val="en-US"/>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proofErr w:type="gramStart"/>
      <w:r w:rsidR="00294337" w:rsidRPr="00294337">
        <w:rPr>
          <w:rFonts w:ascii="Arial" w:hAnsi="Arial" w:cs="Arial"/>
          <w:kern w:val="0"/>
          <w:sz w:val="20"/>
          <w:szCs w:val="20"/>
          <w:lang w:val="en-US"/>
        </w:rPr>
        <w:t>In order to</w:t>
      </w:r>
      <w:proofErr w:type="gramEnd"/>
      <w:r w:rsidR="00294337" w:rsidRPr="00294337">
        <w:rPr>
          <w:rFonts w:ascii="Arial" w:hAnsi="Arial" w:cs="Arial"/>
          <w:kern w:val="0"/>
          <w:sz w:val="20"/>
          <w:szCs w:val="20"/>
          <w:lang w:val="en-US"/>
        </w:rPr>
        <w:t xml:space="preserve"> ascertain the linear viscoelastic range of the pH-independent Ch−AP PEC coacervates, strain sweeps were conducted for 1:4, 1:5, and 1:6 systems at an angular frequency (ω) of 10 rad s</w:t>
      </w:r>
      <w:r w:rsidR="00294337" w:rsidRPr="00294337">
        <w:rPr>
          <w:rFonts w:ascii="Arial" w:hAnsi="Arial" w:cs="Arial"/>
          <w:kern w:val="0"/>
          <w:position w:val="13"/>
          <w:sz w:val="20"/>
          <w:szCs w:val="20"/>
          <w:lang w:val="en-US"/>
        </w:rPr>
        <w:t>−1</w:t>
      </w:r>
      <w:r w:rsidR="00294337" w:rsidRPr="00294337">
        <w:rPr>
          <w:rFonts w:ascii="Arial" w:hAnsi="Arial" w:cs="Arial"/>
          <w:kern w:val="0"/>
          <w:sz w:val="20"/>
          <w:szCs w:val="20"/>
          <w:lang w:val="en-US"/>
        </w:rPr>
        <w:t xml:space="preserve">. The linear viscoelastic area was found in </w:t>
      </w:r>
      <w:proofErr w:type="gramStart"/>
      <w:r w:rsidR="00294337" w:rsidRPr="00294337">
        <w:rPr>
          <w:rFonts w:ascii="Arial" w:hAnsi="Arial" w:cs="Arial"/>
          <w:kern w:val="0"/>
          <w:sz w:val="20"/>
          <w:szCs w:val="20"/>
          <w:lang w:val="en-US"/>
        </w:rPr>
        <w:t>all of</w:t>
      </w:r>
      <w:proofErr w:type="gramEnd"/>
      <w:r w:rsidR="00294337" w:rsidRPr="00294337">
        <w:rPr>
          <w:rFonts w:ascii="Arial" w:hAnsi="Arial" w:cs="Arial"/>
          <w:kern w:val="0"/>
          <w:sz w:val="20"/>
          <w:szCs w:val="20"/>
          <w:lang w:val="en-US"/>
        </w:rPr>
        <w:t xml:space="preserve"> the systems up to a maximum strain percent of 10, according to the G′ data (Figure 1a-c). A linear zone with a constant value of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at low strain % and a strong downward inflection in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 xml:space="preserve">at larger strains are characteristics of the PECs. The movement of the inflection point indicates the amount of stress that the PEC can bear before breaking, which may indicate the PEC body dissolution. Additionally, depending on the structure network inside the systems, bonds break and reformat at various rates when strains surpass that of </w:t>
      </w:r>
      <w:r w:rsidR="00294337" w:rsidRPr="00294337">
        <w:rPr>
          <w:rFonts w:ascii="Arial" w:hAnsi="Arial" w:cs="Arial"/>
          <w:kern w:val="0"/>
          <w:sz w:val="20"/>
          <w:szCs w:val="20"/>
          <w:lang w:val="en-US"/>
        </w:rPr>
        <w:lastRenderedPageBreak/>
        <w:t>the linear viscoelastic zone, resulting in a variation in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values. The critical strain (% γ) values for pH 1:5, 1:6, and 1:4 systems are 13.86, 8.0, and 7.52, respectively, determined by finding the junction of the two linear sections of the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vs. % strain plot. The linear viscoelastic region's storage modulus (G</w:t>
      </w:r>
      <w:r w:rsidR="00294337" w:rsidRPr="00294337">
        <w:rPr>
          <w:rFonts w:ascii="Arial" w:hAnsi="Arial" w:cs="Arial"/>
          <w:kern w:val="0"/>
          <w:position w:val="13"/>
          <w:sz w:val="20"/>
          <w:szCs w:val="20"/>
          <w:lang w:val="en-US"/>
        </w:rPr>
        <w:t>/</w:t>
      </w:r>
      <w:r w:rsidR="00294337" w:rsidRPr="00294337">
        <w:rPr>
          <w:rFonts w:ascii="Arial" w:hAnsi="Arial" w:cs="Arial"/>
          <w:kern w:val="0"/>
          <w:sz w:val="20"/>
          <w:szCs w:val="20"/>
          <w:lang w:val="en-US"/>
        </w:rPr>
        <w:t>) magnitudes exhibit a falling order of 1:5 (986 Pa) &gt; 1:6 (780 Pa) &gt; 1:4 (676 Pa). Given that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 xml:space="preserve">and critical strain </w:t>
      </w:r>
      <w:proofErr w:type="gramStart"/>
      <w:r w:rsidR="00294337" w:rsidRPr="00294337">
        <w:rPr>
          <w:rFonts w:ascii="Arial" w:hAnsi="Arial" w:cs="Arial"/>
          <w:kern w:val="0"/>
          <w:sz w:val="20"/>
          <w:szCs w:val="20"/>
          <w:lang w:val="en-US"/>
        </w:rPr>
        <w:t>have</w:t>
      </w:r>
      <w:proofErr w:type="gramEnd"/>
      <w:r w:rsidR="00294337" w:rsidRPr="00294337">
        <w:rPr>
          <w:rFonts w:ascii="Arial" w:hAnsi="Arial" w:cs="Arial"/>
          <w:kern w:val="0"/>
          <w:sz w:val="20"/>
          <w:szCs w:val="20"/>
          <w:lang w:val="en-US"/>
        </w:rPr>
        <w:t xml:space="preserve"> the same sequence, it can be deduced that the 1:5 system has the maximum mechanical strength, the 1:4 system the lowest, and the 1:6 system the intermediate strength. Its increased mechanical strength is clearly explained by the maximum degree of contact between the biopolymers in the 1:5 system. Figure 1 presents a comparison of the pH independent coacervates' loss modulus (G</w:t>
      </w:r>
      <w:r w:rsidR="00294337" w:rsidRPr="00294337">
        <w:rPr>
          <w:rFonts w:ascii="Arial" w:hAnsi="Arial" w:cs="Arial"/>
          <w:kern w:val="0"/>
          <w:position w:val="13"/>
          <w:sz w:val="20"/>
          <w:szCs w:val="20"/>
          <w:lang w:val="en-US"/>
        </w:rPr>
        <w:t>//</w:t>
      </w:r>
      <w:r w:rsidR="00294337" w:rsidRPr="00294337">
        <w:rPr>
          <w:rFonts w:ascii="Arial" w:hAnsi="Arial" w:cs="Arial"/>
          <w:kern w:val="0"/>
          <w:sz w:val="20"/>
          <w:szCs w:val="20"/>
          <w:lang w:val="en-US"/>
        </w:rPr>
        <w:t xml:space="preserve">) vs strain behavior. The curves exhibit comparable patterns and forms to the </w:t>
      </w:r>
      <w:proofErr w:type="gramStart"/>
      <w:r w:rsidR="00294337" w:rsidRPr="00294337">
        <w:rPr>
          <w:rFonts w:ascii="Arial" w:hAnsi="Arial" w:cs="Arial"/>
          <w:kern w:val="0"/>
          <w:sz w:val="20"/>
          <w:szCs w:val="20"/>
          <w:lang w:val="en-US"/>
        </w:rPr>
        <w:t>G</w:t>
      </w:r>
      <w:r w:rsidR="00294337" w:rsidRPr="00294337">
        <w:rPr>
          <w:rFonts w:ascii="Arial" w:hAnsi="Arial" w:cs="Arial"/>
          <w:kern w:val="0"/>
          <w:position w:val="13"/>
          <w:sz w:val="20"/>
          <w:szCs w:val="20"/>
          <w:lang w:val="en-US"/>
        </w:rPr>
        <w:t>//</w:t>
      </w:r>
      <w:r w:rsidR="00294337" w:rsidRPr="00294337">
        <w:rPr>
          <w:rFonts w:ascii="Arial" w:hAnsi="Arial" w:cs="Arial"/>
          <w:kern w:val="0"/>
          <w:sz w:val="20"/>
          <w:szCs w:val="20"/>
          <w:lang w:val="en-US"/>
        </w:rPr>
        <w:t>−</w:t>
      </w:r>
      <w:proofErr w:type="gramEnd"/>
      <w:r w:rsidR="00294337" w:rsidRPr="00294337">
        <w:rPr>
          <w:rFonts w:ascii="Arial" w:hAnsi="Arial" w:cs="Arial"/>
          <w:kern w:val="0"/>
          <w:sz w:val="20"/>
          <w:szCs w:val="20"/>
          <w:lang w:val="en-US"/>
        </w:rPr>
        <w:t>strain percent curves. In the linear viscoelastic area, the loss modulus values were 1:5 (265 Pa) &gt; 1:6 (154 Pa) &gt; 1:4 (32 Pa), arranged in descending order. It was evident that the value of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was much bigger than G</w:t>
      </w:r>
      <w:r w:rsidR="00294337" w:rsidRPr="00294337">
        <w:rPr>
          <w:rFonts w:ascii="Arial" w:hAnsi="Arial" w:cs="Arial"/>
          <w:kern w:val="0"/>
          <w:position w:val="13"/>
          <w:sz w:val="20"/>
          <w:szCs w:val="20"/>
          <w:lang w:val="en-US"/>
        </w:rPr>
        <w:t xml:space="preserve">// </w:t>
      </w:r>
      <w:r w:rsidR="00294337" w:rsidRPr="00294337">
        <w:rPr>
          <w:rFonts w:ascii="Arial" w:hAnsi="Arial" w:cs="Arial"/>
          <w:kern w:val="0"/>
          <w:sz w:val="20"/>
          <w:szCs w:val="20"/>
          <w:lang w:val="en-US"/>
        </w:rPr>
        <w:t xml:space="preserve">at a given strain percent in the linear viscoelastic zone, suggesting a dominantly elastic nature for the PEC [3-6]. </w:t>
      </w:r>
    </w:p>
    <w:p w14:paraId="0F46323F" w14:textId="44DD7829" w:rsidR="00294337" w:rsidRDefault="00A73A5A" w:rsidP="00185169">
      <w:pPr>
        <w:widowControl w:val="0"/>
        <w:autoSpaceDE w:val="0"/>
        <w:autoSpaceDN w:val="0"/>
        <w:adjustRightInd w:val="0"/>
        <w:spacing w:after="240" w:line="360" w:lineRule="atLeast"/>
        <w:ind w:left="-630"/>
        <w:jc w:val="center"/>
        <w:rPr>
          <w:rFonts w:ascii="Times" w:hAnsi="Times" w:cs="Times"/>
          <w:kern w:val="0"/>
          <w:lang w:val="en-US"/>
        </w:rPr>
      </w:pPr>
      <w:r w:rsidRPr="00A73A5A">
        <w:rPr>
          <w:rFonts w:ascii="Times" w:hAnsi="Times" w:cs="Times"/>
          <w:noProof/>
          <w:kern w:val="0"/>
          <w:lang w:val="en-US"/>
        </w:rPr>
        <w:drawing>
          <wp:inline distT="0" distB="0" distL="0" distR="0" wp14:anchorId="6157CEA4" wp14:editId="6F7E0378">
            <wp:extent cx="3314700" cy="19429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16384" cy="1943951"/>
                    </a:xfrm>
                    <a:prstGeom prst="rect">
                      <a:avLst/>
                    </a:prstGeom>
                    <a:noFill/>
                    <a:ln>
                      <a:noFill/>
                    </a:ln>
                  </pic:spPr>
                </pic:pic>
              </a:graphicData>
            </a:graphic>
          </wp:inline>
        </w:drawing>
      </w:r>
      <w:r>
        <w:rPr>
          <w:rFonts w:ascii="Times" w:hAnsi="Times" w:cs="Times"/>
          <w:noProof/>
          <w:kern w:val="0"/>
          <w:lang w:val="en-US"/>
        </w:rPr>
        <w:drawing>
          <wp:inline distT="0" distB="0" distL="0" distR="0" wp14:anchorId="28A108E7" wp14:editId="4ED7504B">
            <wp:extent cx="3086100" cy="194183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91457" cy="1945201"/>
                    </a:xfrm>
                    <a:prstGeom prst="rect">
                      <a:avLst/>
                    </a:prstGeom>
                    <a:noFill/>
                    <a:ln>
                      <a:noFill/>
                    </a:ln>
                  </pic:spPr>
                </pic:pic>
              </a:graphicData>
            </a:graphic>
          </wp:inline>
        </w:drawing>
      </w:r>
      <w:r>
        <w:rPr>
          <w:rFonts w:ascii="Times" w:hAnsi="Times" w:cs="Times"/>
          <w:noProof/>
          <w:kern w:val="0"/>
          <w:lang w:val="en-US"/>
        </w:rPr>
        <w:drawing>
          <wp:inline distT="0" distB="0" distL="0" distR="0" wp14:anchorId="4465E570" wp14:editId="4F5B8087">
            <wp:extent cx="2915227" cy="194246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l="5172"/>
                    <a:stretch/>
                  </pic:blipFill>
                  <pic:spPr bwMode="auto">
                    <a:xfrm>
                      <a:off x="0" y="0"/>
                      <a:ext cx="2915227" cy="19424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D3D448A" w14:textId="2F6D51F6" w:rsidR="00185169" w:rsidRPr="00185169" w:rsidRDefault="00C315D2" w:rsidP="00185169">
      <w:pPr>
        <w:widowControl w:val="0"/>
        <w:autoSpaceDE w:val="0"/>
        <w:autoSpaceDN w:val="0"/>
        <w:adjustRightInd w:val="0"/>
        <w:spacing w:after="240" w:line="360" w:lineRule="atLeast"/>
        <w:jc w:val="both"/>
        <w:rPr>
          <w:rFonts w:ascii="Arial" w:hAnsi="Arial" w:cs="Arial"/>
          <w:kern w:val="0"/>
          <w:sz w:val="20"/>
          <w:szCs w:val="20"/>
          <w:lang w:val="en-US"/>
        </w:rPr>
      </w:pPr>
      <w:r w:rsidRPr="2021B9E9">
        <w:rPr>
          <w:rFonts w:ascii="Arial" w:eastAsia="Calibri" w:hAnsi="Arial" w:cs="Calibri"/>
          <w:b/>
          <w:bCs/>
          <w:kern w:val="0"/>
          <w:sz w:val="20"/>
          <w:szCs w:val="20"/>
          <w:lang w:val="en-GB"/>
          <w14:ligatures w14:val="none"/>
        </w:rPr>
        <w:t xml:space="preserve">Figure 1. </w:t>
      </w:r>
      <w:r w:rsidR="00185169" w:rsidRPr="00185169">
        <w:rPr>
          <w:rFonts w:ascii="Arial" w:hAnsi="Arial" w:cs="Arial"/>
          <w:kern w:val="0"/>
          <w:sz w:val="20"/>
          <w:szCs w:val="20"/>
          <w:lang w:val="en-US"/>
        </w:rPr>
        <w:t>pH-independent Ch−AP Variation [1:4 (4.6 ± 0.0), 1:5 (4.2 ± 0.1), and 1:6 (3.6 ± 0.0)] were the original pH values. As a function of strain percentage, PEC exacerbates the following rheological properties: (a) storage modulus G</w:t>
      </w:r>
      <w:r w:rsidR="00185169" w:rsidRPr="00185169">
        <w:rPr>
          <w:rFonts w:ascii="Arial" w:hAnsi="Arial" w:cs="Arial"/>
          <w:kern w:val="0"/>
          <w:position w:val="13"/>
          <w:sz w:val="20"/>
          <w:szCs w:val="20"/>
          <w:lang w:val="en-US"/>
        </w:rPr>
        <w:t xml:space="preserve">/ </w:t>
      </w:r>
      <w:r w:rsidR="00185169" w:rsidRPr="00185169">
        <w:rPr>
          <w:rFonts w:ascii="Arial" w:hAnsi="Arial" w:cs="Arial"/>
          <w:kern w:val="0"/>
          <w:sz w:val="20"/>
          <w:szCs w:val="20"/>
          <w:lang w:val="en-US"/>
        </w:rPr>
        <w:t>and loss modulus G</w:t>
      </w:r>
      <w:r w:rsidR="00185169" w:rsidRPr="00185169">
        <w:rPr>
          <w:rFonts w:ascii="Arial" w:hAnsi="Arial" w:cs="Arial"/>
          <w:kern w:val="0"/>
          <w:position w:val="13"/>
          <w:sz w:val="20"/>
          <w:szCs w:val="20"/>
          <w:lang w:val="en-US"/>
        </w:rPr>
        <w:t xml:space="preserve">// </w:t>
      </w:r>
      <w:r w:rsidR="00185169" w:rsidRPr="00185169">
        <w:rPr>
          <w:rFonts w:ascii="Arial" w:hAnsi="Arial" w:cs="Arial"/>
          <w:kern w:val="0"/>
          <w:sz w:val="20"/>
          <w:szCs w:val="20"/>
          <w:lang w:val="en-US"/>
        </w:rPr>
        <w:t>for 1:6 system; (b) G</w:t>
      </w:r>
      <w:r w:rsidR="00185169" w:rsidRPr="00185169">
        <w:rPr>
          <w:rFonts w:ascii="Arial" w:hAnsi="Arial" w:cs="Arial"/>
          <w:kern w:val="0"/>
          <w:position w:val="13"/>
          <w:sz w:val="20"/>
          <w:szCs w:val="20"/>
          <w:lang w:val="en-US"/>
        </w:rPr>
        <w:t xml:space="preserve">/ </w:t>
      </w:r>
      <w:r w:rsidR="00185169" w:rsidRPr="00185169">
        <w:rPr>
          <w:rFonts w:ascii="Arial" w:hAnsi="Arial" w:cs="Arial"/>
          <w:kern w:val="0"/>
          <w:sz w:val="20"/>
          <w:szCs w:val="20"/>
          <w:lang w:val="en-US"/>
        </w:rPr>
        <w:t>and G</w:t>
      </w:r>
      <w:r w:rsidR="00185169" w:rsidRPr="00185169">
        <w:rPr>
          <w:rFonts w:ascii="Arial" w:hAnsi="Arial" w:cs="Arial"/>
          <w:kern w:val="0"/>
          <w:position w:val="13"/>
          <w:sz w:val="20"/>
          <w:szCs w:val="20"/>
          <w:lang w:val="en-US"/>
        </w:rPr>
        <w:t xml:space="preserve">// </w:t>
      </w:r>
      <w:r w:rsidR="00185169" w:rsidRPr="00185169">
        <w:rPr>
          <w:rFonts w:ascii="Arial" w:hAnsi="Arial" w:cs="Arial"/>
          <w:kern w:val="0"/>
          <w:sz w:val="20"/>
          <w:szCs w:val="20"/>
          <w:lang w:val="en-US"/>
        </w:rPr>
        <w:t>for 1:5 system; (c) G</w:t>
      </w:r>
      <w:r w:rsidR="00185169" w:rsidRPr="00185169">
        <w:rPr>
          <w:rFonts w:ascii="Arial" w:hAnsi="Arial" w:cs="Arial"/>
          <w:kern w:val="0"/>
          <w:position w:val="13"/>
          <w:sz w:val="20"/>
          <w:szCs w:val="20"/>
          <w:lang w:val="en-US"/>
        </w:rPr>
        <w:t xml:space="preserve">/ </w:t>
      </w:r>
      <w:r w:rsidR="00185169" w:rsidRPr="00185169">
        <w:rPr>
          <w:rFonts w:ascii="Arial" w:hAnsi="Arial" w:cs="Arial"/>
          <w:kern w:val="0"/>
          <w:sz w:val="20"/>
          <w:szCs w:val="20"/>
          <w:lang w:val="en-US"/>
        </w:rPr>
        <w:t>and G</w:t>
      </w:r>
      <w:r w:rsidR="00185169" w:rsidRPr="00185169">
        <w:rPr>
          <w:rFonts w:ascii="Arial" w:hAnsi="Arial" w:cs="Arial"/>
          <w:kern w:val="0"/>
          <w:position w:val="13"/>
          <w:sz w:val="20"/>
          <w:szCs w:val="20"/>
          <w:lang w:val="en-US"/>
        </w:rPr>
        <w:t xml:space="preserve">// </w:t>
      </w:r>
      <w:r w:rsidR="00185169" w:rsidRPr="00185169">
        <w:rPr>
          <w:rFonts w:ascii="Arial" w:hAnsi="Arial" w:cs="Arial"/>
          <w:kern w:val="0"/>
          <w:sz w:val="20"/>
          <w:szCs w:val="20"/>
          <w:lang w:val="en-US"/>
        </w:rPr>
        <w:t xml:space="preserve">for 1:4 system. </w:t>
      </w:r>
    </w:p>
    <w:p w14:paraId="46AE4F5B" w14:textId="774A3AB4" w:rsidR="005E3D9E" w:rsidRPr="005E3D9E" w:rsidRDefault="00B8473A" w:rsidP="005E3D9E">
      <w:pPr>
        <w:widowControl w:val="0"/>
        <w:autoSpaceDE w:val="0"/>
        <w:autoSpaceDN w:val="0"/>
        <w:adjustRightInd w:val="0"/>
        <w:spacing w:after="240" w:line="360" w:lineRule="atLeast"/>
        <w:jc w:val="both"/>
        <w:rPr>
          <w:rFonts w:ascii="Arial" w:hAnsi="Arial" w:cs="Arial"/>
          <w:kern w:val="0"/>
          <w:sz w:val="20"/>
          <w:szCs w:val="20"/>
          <w:lang w:val="en-US"/>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5E3D9E" w:rsidRPr="005E3D9E">
        <w:rPr>
          <w:rFonts w:ascii="Arial" w:hAnsi="Arial" w:cs="Arial"/>
          <w:kern w:val="0"/>
          <w:sz w:val="20"/>
          <w:szCs w:val="20"/>
          <w:lang w:val="en-US"/>
        </w:rPr>
        <w:t xml:space="preserve">The electrostatic complex coacervates of chitosan with </w:t>
      </w:r>
      <w:r w:rsidR="005E3D9E" w:rsidRPr="005E3D9E">
        <w:rPr>
          <w:rFonts w:ascii="Arial" w:hAnsi="Arial" w:cs="Arial"/>
          <w:i/>
          <w:iCs/>
          <w:kern w:val="0"/>
          <w:sz w:val="20"/>
          <w:szCs w:val="20"/>
          <w:lang w:val="en-US"/>
        </w:rPr>
        <w:t xml:space="preserve">Albizia </w:t>
      </w:r>
      <w:proofErr w:type="spellStart"/>
      <w:r w:rsidR="005E3D9E" w:rsidRPr="005E3D9E">
        <w:rPr>
          <w:rFonts w:ascii="Arial" w:hAnsi="Arial" w:cs="Arial"/>
          <w:i/>
          <w:iCs/>
          <w:kern w:val="0"/>
          <w:sz w:val="20"/>
          <w:szCs w:val="20"/>
          <w:lang w:val="en-US"/>
        </w:rPr>
        <w:t>procera</w:t>
      </w:r>
      <w:proofErr w:type="spellEnd"/>
      <w:r w:rsidR="005E3D9E" w:rsidRPr="005E3D9E">
        <w:rPr>
          <w:rFonts w:ascii="Arial" w:hAnsi="Arial" w:cs="Arial"/>
          <w:i/>
          <w:iCs/>
          <w:kern w:val="0"/>
          <w:sz w:val="20"/>
          <w:szCs w:val="20"/>
          <w:lang w:val="en-US"/>
        </w:rPr>
        <w:t xml:space="preserve"> </w:t>
      </w:r>
      <w:r w:rsidR="005E3D9E" w:rsidRPr="005E3D9E">
        <w:rPr>
          <w:rFonts w:ascii="Arial" w:hAnsi="Arial" w:cs="Arial"/>
          <w:kern w:val="0"/>
          <w:sz w:val="20"/>
          <w:szCs w:val="20"/>
          <w:lang w:val="en-US"/>
        </w:rPr>
        <w:t xml:space="preserve">that we prepared in our experiments are promising as potential materials for colon </w:t>
      </w:r>
      <w:r w:rsidR="00CE482A">
        <w:rPr>
          <w:rFonts w:ascii="Arial" w:hAnsi="Arial" w:cs="Arial"/>
          <w:kern w:val="0"/>
          <w:sz w:val="20"/>
          <w:szCs w:val="20"/>
          <w:lang w:val="en-US"/>
        </w:rPr>
        <w:t xml:space="preserve">targeting. The greatest </w:t>
      </w:r>
      <w:r w:rsidR="005E3D9E" w:rsidRPr="005E3D9E">
        <w:rPr>
          <w:rFonts w:ascii="Arial" w:hAnsi="Arial" w:cs="Arial"/>
          <w:kern w:val="0"/>
          <w:sz w:val="20"/>
          <w:szCs w:val="20"/>
          <w:lang w:val="en-US"/>
        </w:rPr>
        <w:lastRenderedPageBreak/>
        <w:t xml:space="preserve">findings of elastic mechanical strength were found for a 1:5 complex coacervate system, according to the pH-independent strain sweep curves. </w:t>
      </w:r>
    </w:p>
    <w:p w14:paraId="65E846CD" w14:textId="1CF6E4A5"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p>
    <w:p w14:paraId="2C801966" w14:textId="3D4B0972" w:rsidR="00C315D2" w:rsidRPr="00255494" w:rsidRDefault="00C315D2" w:rsidP="00C315D2">
      <w:pPr>
        <w:spacing w:after="0" w:line="240" w:lineRule="auto"/>
        <w:jc w:val="both"/>
        <w:rPr>
          <w:rFonts w:ascii="Arial" w:eastAsia="Calibri" w:hAnsi="Arial" w:cs="Calibri"/>
          <w:bCs/>
          <w:kern w:val="0"/>
          <w:sz w:val="20"/>
          <w:szCs w:val="20"/>
          <w:lang w:val="de-DE"/>
          <w14:ligatures w14:val="none"/>
        </w:rPr>
      </w:pPr>
      <w:r w:rsidRPr="00255494">
        <w:rPr>
          <w:rFonts w:ascii="Arial" w:eastAsia="Calibri" w:hAnsi="Arial" w:cs="Calibri"/>
          <w:b/>
          <w:kern w:val="0"/>
          <w:sz w:val="20"/>
          <w:szCs w:val="20"/>
          <w:lang w:val="de-DE"/>
          <w14:ligatures w14:val="none"/>
        </w:rPr>
        <w:t>References:</w:t>
      </w:r>
      <w:r w:rsidRPr="00255494">
        <w:rPr>
          <w:rFonts w:ascii="Arial" w:eastAsia="Calibri" w:hAnsi="Arial" w:cs="Calibri"/>
          <w:bCs/>
          <w:kern w:val="0"/>
          <w:sz w:val="20"/>
          <w:szCs w:val="20"/>
          <w:lang w:val="de-DE"/>
          <w14:ligatures w14:val="none"/>
        </w:rPr>
        <w:t xml:space="preserve"> </w:t>
      </w:r>
    </w:p>
    <w:p w14:paraId="4B992D58" w14:textId="23612EE4" w:rsidR="00C53235" w:rsidRPr="00255494" w:rsidRDefault="00C53235" w:rsidP="00CE482A">
      <w:pPr>
        <w:widowControl w:val="0"/>
        <w:autoSpaceDE w:val="0"/>
        <w:autoSpaceDN w:val="0"/>
        <w:adjustRightInd w:val="0"/>
        <w:spacing w:after="240" w:line="240" w:lineRule="auto"/>
        <w:jc w:val="both"/>
        <w:rPr>
          <w:rFonts w:ascii="Arial" w:hAnsi="Arial" w:cs="Arial"/>
          <w:kern w:val="0"/>
          <w:sz w:val="20"/>
          <w:szCs w:val="20"/>
          <w:lang w:val="de-DE"/>
        </w:rPr>
      </w:pPr>
      <w:r w:rsidRPr="00255494">
        <w:rPr>
          <w:rFonts w:ascii="Arial" w:hAnsi="Arial" w:cs="Arial"/>
          <w:kern w:val="0"/>
          <w:sz w:val="20"/>
          <w:szCs w:val="20"/>
          <w:lang w:val="de-DE"/>
        </w:rPr>
        <w:t xml:space="preserve">[1] Bungenberg de Jong. et al (1929) </w:t>
      </w:r>
      <w:r w:rsidRPr="00255494">
        <w:rPr>
          <w:rFonts w:ascii="Arial" w:hAnsi="Arial" w:cs="Arial"/>
          <w:iCs/>
          <w:kern w:val="0"/>
          <w:sz w:val="20"/>
          <w:szCs w:val="20"/>
          <w:lang w:val="de-DE"/>
        </w:rPr>
        <w:t>Proc. Koninkl. Med. Akad. Wetenschap</w:t>
      </w:r>
      <w:r w:rsidRPr="00255494">
        <w:rPr>
          <w:rFonts w:ascii="Arial" w:hAnsi="Arial" w:cs="Arial"/>
          <w:i/>
          <w:iCs/>
          <w:kern w:val="0"/>
          <w:sz w:val="20"/>
          <w:szCs w:val="20"/>
          <w:lang w:val="de-DE"/>
        </w:rPr>
        <w:t xml:space="preserve"> </w:t>
      </w:r>
      <w:r w:rsidRPr="00255494">
        <w:rPr>
          <w:rFonts w:ascii="Arial" w:hAnsi="Arial" w:cs="Arial"/>
          <w:iCs/>
          <w:kern w:val="0"/>
          <w:sz w:val="20"/>
          <w:szCs w:val="20"/>
          <w:lang w:val="de-DE"/>
        </w:rPr>
        <w:t>32</w:t>
      </w:r>
      <w:r w:rsidRPr="00255494">
        <w:rPr>
          <w:rFonts w:ascii="Arial" w:hAnsi="Arial" w:cs="Arial"/>
          <w:kern w:val="0"/>
          <w:sz w:val="20"/>
          <w:szCs w:val="20"/>
          <w:lang w:val="de-DE"/>
        </w:rPr>
        <w:t xml:space="preserve">: 849−856. </w:t>
      </w:r>
    </w:p>
    <w:p w14:paraId="4E6D5E3D" w14:textId="1F8F8829" w:rsidR="00C53235" w:rsidRPr="00255494" w:rsidRDefault="00C53235" w:rsidP="00CE482A">
      <w:pPr>
        <w:widowControl w:val="0"/>
        <w:autoSpaceDE w:val="0"/>
        <w:autoSpaceDN w:val="0"/>
        <w:adjustRightInd w:val="0"/>
        <w:spacing w:after="240" w:line="240" w:lineRule="auto"/>
        <w:jc w:val="both"/>
        <w:rPr>
          <w:rFonts w:ascii="Arial" w:hAnsi="Arial" w:cs="Arial"/>
          <w:kern w:val="0"/>
          <w:sz w:val="20"/>
          <w:szCs w:val="20"/>
          <w:lang w:val="de-DE"/>
        </w:rPr>
      </w:pPr>
      <w:r w:rsidRPr="00255494">
        <w:rPr>
          <w:rFonts w:ascii="Arial" w:hAnsi="Arial" w:cs="Arial"/>
          <w:kern w:val="0"/>
          <w:sz w:val="20"/>
          <w:szCs w:val="20"/>
          <w:lang w:val="de-DE"/>
        </w:rPr>
        <w:t xml:space="preserve">[2] Sanchez, C. et al (2002) </w:t>
      </w:r>
      <w:r w:rsidRPr="00255494">
        <w:rPr>
          <w:rFonts w:ascii="Arial" w:hAnsi="Arial" w:cs="Arial"/>
          <w:iCs/>
          <w:kern w:val="0"/>
          <w:sz w:val="20"/>
          <w:szCs w:val="20"/>
          <w:lang w:val="de-DE"/>
        </w:rPr>
        <w:t>Langmuir</w:t>
      </w:r>
      <w:r w:rsidRPr="00255494">
        <w:rPr>
          <w:rFonts w:ascii="Arial" w:hAnsi="Arial" w:cs="Arial"/>
          <w:i/>
          <w:iCs/>
          <w:kern w:val="0"/>
          <w:sz w:val="20"/>
          <w:szCs w:val="20"/>
          <w:lang w:val="de-DE"/>
        </w:rPr>
        <w:t xml:space="preserve"> </w:t>
      </w:r>
      <w:r w:rsidRPr="00255494">
        <w:rPr>
          <w:rFonts w:ascii="Arial" w:hAnsi="Arial" w:cs="Arial"/>
          <w:iCs/>
          <w:kern w:val="0"/>
          <w:sz w:val="20"/>
          <w:szCs w:val="20"/>
          <w:lang w:val="de-DE"/>
        </w:rPr>
        <w:t>18</w:t>
      </w:r>
      <w:r w:rsidRPr="00255494">
        <w:rPr>
          <w:rFonts w:ascii="Arial" w:hAnsi="Arial" w:cs="Arial"/>
          <w:kern w:val="0"/>
          <w:sz w:val="20"/>
          <w:szCs w:val="20"/>
          <w:lang w:val="de-DE"/>
        </w:rPr>
        <w:t xml:space="preserve">:10323−10333. </w:t>
      </w:r>
    </w:p>
    <w:p w14:paraId="54C518C2" w14:textId="1ADA164F" w:rsidR="00C53235" w:rsidRPr="00255494" w:rsidRDefault="00C53235" w:rsidP="00CE482A">
      <w:pPr>
        <w:widowControl w:val="0"/>
        <w:autoSpaceDE w:val="0"/>
        <w:autoSpaceDN w:val="0"/>
        <w:adjustRightInd w:val="0"/>
        <w:spacing w:after="240" w:line="240" w:lineRule="auto"/>
        <w:jc w:val="both"/>
        <w:rPr>
          <w:rFonts w:ascii="Arial" w:hAnsi="Arial" w:cs="Arial"/>
          <w:kern w:val="0"/>
          <w:sz w:val="20"/>
          <w:szCs w:val="20"/>
          <w:lang w:val="de-DE"/>
        </w:rPr>
      </w:pPr>
      <w:r w:rsidRPr="00255494">
        <w:rPr>
          <w:rFonts w:ascii="Arial" w:hAnsi="Arial" w:cs="Arial"/>
          <w:kern w:val="0"/>
          <w:sz w:val="20"/>
          <w:szCs w:val="20"/>
          <w:lang w:val="de-DE"/>
        </w:rPr>
        <w:t xml:space="preserve">[3] Wang, Q. et al (2010) </w:t>
      </w:r>
      <w:r w:rsidRPr="00255494">
        <w:rPr>
          <w:rFonts w:ascii="Arial" w:hAnsi="Arial" w:cs="Arial"/>
          <w:iCs/>
          <w:kern w:val="0"/>
          <w:sz w:val="20"/>
          <w:szCs w:val="20"/>
          <w:lang w:val="de-DE"/>
        </w:rPr>
        <w:t>Nature</w:t>
      </w:r>
      <w:r w:rsidRPr="00255494">
        <w:rPr>
          <w:rFonts w:ascii="Arial" w:hAnsi="Arial" w:cs="Arial"/>
          <w:i/>
          <w:iCs/>
          <w:kern w:val="0"/>
          <w:sz w:val="20"/>
          <w:szCs w:val="20"/>
          <w:lang w:val="de-DE"/>
        </w:rPr>
        <w:t xml:space="preserve"> </w:t>
      </w:r>
      <w:r w:rsidRPr="00255494">
        <w:rPr>
          <w:rFonts w:ascii="Arial" w:hAnsi="Arial" w:cs="Arial"/>
          <w:iCs/>
          <w:kern w:val="0"/>
          <w:sz w:val="20"/>
          <w:szCs w:val="20"/>
          <w:lang w:val="de-DE"/>
        </w:rPr>
        <w:t>463</w:t>
      </w:r>
      <w:r w:rsidRPr="00255494">
        <w:rPr>
          <w:rFonts w:ascii="Arial" w:hAnsi="Arial" w:cs="Arial"/>
          <w:kern w:val="0"/>
          <w:sz w:val="20"/>
          <w:szCs w:val="20"/>
          <w:lang w:val="de-DE"/>
        </w:rPr>
        <w:t xml:space="preserve">:339−343. </w:t>
      </w:r>
    </w:p>
    <w:p w14:paraId="2853B913" w14:textId="329ED284" w:rsidR="00C53235" w:rsidRPr="00C53235" w:rsidRDefault="00C53235" w:rsidP="00CE482A">
      <w:pPr>
        <w:widowControl w:val="0"/>
        <w:autoSpaceDE w:val="0"/>
        <w:autoSpaceDN w:val="0"/>
        <w:adjustRightInd w:val="0"/>
        <w:spacing w:after="240" w:line="240" w:lineRule="auto"/>
        <w:jc w:val="both"/>
        <w:rPr>
          <w:rFonts w:ascii="Arial" w:hAnsi="Arial" w:cs="Arial"/>
          <w:kern w:val="0"/>
          <w:sz w:val="20"/>
          <w:szCs w:val="20"/>
          <w:lang w:val="en-US"/>
        </w:rPr>
      </w:pPr>
      <w:r>
        <w:rPr>
          <w:rFonts w:ascii="Arial" w:hAnsi="Arial" w:cs="Arial"/>
          <w:kern w:val="0"/>
          <w:sz w:val="20"/>
          <w:szCs w:val="20"/>
          <w:lang w:val="en-US"/>
        </w:rPr>
        <w:t xml:space="preserve">[4] </w:t>
      </w:r>
      <w:proofErr w:type="spellStart"/>
      <w:r>
        <w:rPr>
          <w:rFonts w:ascii="Arial" w:hAnsi="Arial" w:cs="Arial"/>
          <w:kern w:val="0"/>
          <w:sz w:val="20"/>
          <w:szCs w:val="20"/>
          <w:lang w:val="en-US"/>
        </w:rPr>
        <w:t>Tiitu</w:t>
      </w:r>
      <w:proofErr w:type="spellEnd"/>
      <w:r>
        <w:rPr>
          <w:rFonts w:ascii="Arial" w:hAnsi="Arial" w:cs="Arial"/>
          <w:kern w:val="0"/>
          <w:sz w:val="20"/>
          <w:szCs w:val="20"/>
          <w:lang w:val="en-US"/>
        </w:rPr>
        <w:t xml:space="preserve">, M. et al (2002) </w:t>
      </w:r>
      <w:r w:rsidRPr="00C53235">
        <w:rPr>
          <w:rFonts w:ascii="Arial" w:hAnsi="Arial" w:cs="Arial"/>
          <w:iCs/>
          <w:kern w:val="0"/>
          <w:sz w:val="20"/>
          <w:szCs w:val="20"/>
          <w:lang w:val="en-US"/>
        </w:rPr>
        <w:t>Macromolecules</w:t>
      </w:r>
      <w:r w:rsidRPr="00C53235">
        <w:rPr>
          <w:rFonts w:ascii="Arial" w:hAnsi="Arial" w:cs="Arial"/>
          <w:i/>
          <w:iCs/>
          <w:kern w:val="0"/>
          <w:sz w:val="20"/>
          <w:szCs w:val="20"/>
          <w:lang w:val="en-US"/>
        </w:rPr>
        <w:t xml:space="preserve"> </w:t>
      </w:r>
      <w:r w:rsidRPr="00C53235">
        <w:rPr>
          <w:rFonts w:ascii="Arial" w:hAnsi="Arial" w:cs="Arial"/>
          <w:iCs/>
          <w:kern w:val="0"/>
          <w:sz w:val="20"/>
          <w:szCs w:val="20"/>
          <w:lang w:val="en-US"/>
        </w:rPr>
        <w:t>35</w:t>
      </w:r>
      <w:r>
        <w:rPr>
          <w:rFonts w:ascii="Arial" w:hAnsi="Arial" w:cs="Arial"/>
          <w:kern w:val="0"/>
          <w:sz w:val="20"/>
          <w:szCs w:val="20"/>
          <w:lang w:val="en-US"/>
        </w:rPr>
        <w:t>:</w:t>
      </w:r>
      <w:r w:rsidRPr="00C53235">
        <w:rPr>
          <w:rFonts w:ascii="Arial" w:hAnsi="Arial" w:cs="Arial"/>
          <w:kern w:val="0"/>
          <w:sz w:val="20"/>
          <w:szCs w:val="20"/>
          <w:lang w:val="en-US"/>
        </w:rPr>
        <w:t xml:space="preserve"> 5212−5217. </w:t>
      </w:r>
    </w:p>
    <w:p w14:paraId="2EEFC547" w14:textId="4B4C95B9" w:rsidR="00C53235" w:rsidRPr="00C53235" w:rsidRDefault="00C53235" w:rsidP="00CE482A">
      <w:pPr>
        <w:widowControl w:val="0"/>
        <w:autoSpaceDE w:val="0"/>
        <w:autoSpaceDN w:val="0"/>
        <w:adjustRightInd w:val="0"/>
        <w:spacing w:after="240" w:line="240" w:lineRule="auto"/>
        <w:jc w:val="both"/>
        <w:rPr>
          <w:rFonts w:ascii="Arial" w:hAnsi="Arial" w:cs="Arial"/>
          <w:kern w:val="0"/>
          <w:sz w:val="20"/>
          <w:szCs w:val="20"/>
          <w:lang w:val="en-US"/>
        </w:rPr>
      </w:pPr>
      <w:r w:rsidRPr="00C53235">
        <w:rPr>
          <w:rFonts w:ascii="Arial" w:hAnsi="Arial" w:cs="Arial"/>
          <w:kern w:val="0"/>
          <w:sz w:val="20"/>
          <w:szCs w:val="20"/>
          <w:lang w:val="en-US"/>
        </w:rPr>
        <w:t>[5] Nijenhuis, K.</w:t>
      </w:r>
      <w:r>
        <w:rPr>
          <w:rFonts w:ascii="Arial" w:hAnsi="Arial" w:cs="Arial"/>
          <w:kern w:val="0"/>
          <w:sz w:val="20"/>
          <w:szCs w:val="20"/>
          <w:lang w:val="en-US"/>
        </w:rPr>
        <w:t xml:space="preserve"> (1997)</w:t>
      </w:r>
      <w:r w:rsidRPr="00C53235">
        <w:rPr>
          <w:rFonts w:ascii="Arial" w:hAnsi="Arial" w:cs="Arial"/>
          <w:kern w:val="0"/>
          <w:sz w:val="20"/>
          <w:szCs w:val="20"/>
          <w:lang w:val="en-US"/>
        </w:rPr>
        <w:t xml:space="preserve"> </w:t>
      </w:r>
      <w:r w:rsidRPr="00C53235">
        <w:rPr>
          <w:rFonts w:ascii="Arial" w:hAnsi="Arial" w:cs="Arial"/>
          <w:iCs/>
          <w:kern w:val="0"/>
          <w:sz w:val="20"/>
          <w:szCs w:val="20"/>
          <w:lang w:val="en-US"/>
        </w:rPr>
        <w:t xml:space="preserve">Adv. </w:t>
      </w:r>
      <w:proofErr w:type="spellStart"/>
      <w:r w:rsidRPr="00C53235">
        <w:rPr>
          <w:rFonts w:ascii="Arial" w:hAnsi="Arial" w:cs="Arial"/>
          <w:iCs/>
          <w:kern w:val="0"/>
          <w:sz w:val="20"/>
          <w:szCs w:val="20"/>
          <w:lang w:val="en-US"/>
        </w:rPr>
        <w:t>Polym</w:t>
      </w:r>
      <w:proofErr w:type="spellEnd"/>
      <w:r w:rsidRPr="00C53235">
        <w:rPr>
          <w:rFonts w:ascii="Arial" w:hAnsi="Arial" w:cs="Arial"/>
          <w:iCs/>
          <w:kern w:val="0"/>
          <w:sz w:val="20"/>
          <w:szCs w:val="20"/>
          <w:lang w:val="en-US"/>
        </w:rPr>
        <w:t>. Sci.130</w:t>
      </w:r>
      <w:r>
        <w:rPr>
          <w:rFonts w:ascii="Arial" w:hAnsi="Arial" w:cs="Arial"/>
          <w:kern w:val="0"/>
          <w:sz w:val="20"/>
          <w:szCs w:val="20"/>
          <w:lang w:val="en-US"/>
        </w:rPr>
        <w:t>:</w:t>
      </w:r>
      <w:r w:rsidRPr="00C53235">
        <w:rPr>
          <w:rFonts w:ascii="Arial" w:hAnsi="Arial" w:cs="Arial"/>
          <w:kern w:val="0"/>
          <w:sz w:val="20"/>
          <w:szCs w:val="20"/>
          <w:lang w:val="en-US"/>
        </w:rPr>
        <w:t xml:space="preserve"> 1−267. </w:t>
      </w:r>
    </w:p>
    <w:p w14:paraId="3F6FF12F" w14:textId="34BCD7B5" w:rsidR="00C53235" w:rsidRPr="00C53235" w:rsidRDefault="00C53235" w:rsidP="00CE482A">
      <w:pPr>
        <w:widowControl w:val="0"/>
        <w:autoSpaceDE w:val="0"/>
        <w:autoSpaceDN w:val="0"/>
        <w:adjustRightInd w:val="0"/>
        <w:spacing w:after="240" w:line="240" w:lineRule="auto"/>
        <w:jc w:val="both"/>
        <w:rPr>
          <w:rFonts w:ascii="Arial" w:hAnsi="Arial" w:cs="Arial"/>
          <w:kern w:val="0"/>
          <w:sz w:val="20"/>
          <w:szCs w:val="20"/>
          <w:lang w:val="en-US"/>
        </w:rPr>
      </w:pPr>
      <w:r w:rsidRPr="00C53235">
        <w:rPr>
          <w:rFonts w:ascii="Arial" w:hAnsi="Arial" w:cs="Arial"/>
          <w:kern w:val="0"/>
          <w:sz w:val="20"/>
          <w:szCs w:val="20"/>
          <w:lang w:val="en-US"/>
        </w:rPr>
        <w:t>[6] Burchard, W</w:t>
      </w:r>
      <w:r w:rsidR="00185169">
        <w:rPr>
          <w:rFonts w:ascii="Arial" w:hAnsi="Arial" w:cs="Arial"/>
          <w:kern w:val="0"/>
          <w:sz w:val="20"/>
          <w:szCs w:val="20"/>
          <w:lang w:val="en-US"/>
        </w:rPr>
        <w:t>. et al (1990)</w:t>
      </w:r>
      <w:r w:rsidRPr="00C53235">
        <w:rPr>
          <w:rFonts w:ascii="Arial" w:hAnsi="Arial" w:cs="Arial"/>
          <w:i/>
          <w:iCs/>
          <w:kern w:val="0"/>
          <w:sz w:val="20"/>
          <w:szCs w:val="20"/>
          <w:lang w:val="en-US"/>
        </w:rPr>
        <w:t xml:space="preserve"> </w:t>
      </w:r>
      <w:r w:rsidRPr="00C53235">
        <w:rPr>
          <w:rFonts w:ascii="Arial" w:hAnsi="Arial" w:cs="Arial"/>
          <w:kern w:val="0"/>
          <w:sz w:val="20"/>
          <w:szCs w:val="20"/>
          <w:lang w:val="en-US"/>
        </w:rPr>
        <w:t xml:space="preserve">Elsevier Applied Science: London, UK, 1990. </w:t>
      </w:r>
    </w:p>
    <w:p w14:paraId="246C55DC" w14:textId="77777777" w:rsidR="00C53235" w:rsidRPr="00C53235" w:rsidRDefault="00C53235" w:rsidP="00C53235">
      <w:pPr>
        <w:jc w:val="both"/>
        <w:rPr>
          <w:rFonts w:ascii="Arial" w:eastAsia="Calibri" w:hAnsi="Arial" w:cs="Arial"/>
          <w:bCs/>
          <w:kern w:val="0"/>
          <w:sz w:val="20"/>
          <w:szCs w:val="20"/>
          <w:lang w:val="en-US"/>
          <w14:ligatures w14:val="none"/>
        </w:rPr>
      </w:pPr>
    </w:p>
    <w:sectPr w:rsidR="00C53235" w:rsidRPr="00C53235" w:rsidSect="00A73A5A">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66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185169"/>
    <w:rsid w:val="002017E6"/>
    <w:rsid w:val="00255494"/>
    <w:rsid w:val="00294059"/>
    <w:rsid w:val="00294337"/>
    <w:rsid w:val="003206E4"/>
    <w:rsid w:val="003A6D5C"/>
    <w:rsid w:val="004A51B6"/>
    <w:rsid w:val="00510CF8"/>
    <w:rsid w:val="00575A29"/>
    <w:rsid w:val="005E3D9E"/>
    <w:rsid w:val="00601754"/>
    <w:rsid w:val="006A34BE"/>
    <w:rsid w:val="006F3F1C"/>
    <w:rsid w:val="007141F2"/>
    <w:rsid w:val="00732284"/>
    <w:rsid w:val="007561D8"/>
    <w:rsid w:val="00795378"/>
    <w:rsid w:val="00796206"/>
    <w:rsid w:val="007C367E"/>
    <w:rsid w:val="008071C5"/>
    <w:rsid w:val="00860374"/>
    <w:rsid w:val="008A7C5F"/>
    <w:rsid w:val="00906D34"/>
    <w:rsid w:val="00933DC9"/>
    <w:rsid w:val="00936D4C"/>
    <w:rsid w:val="009523F9"/>
    <w:rsid w:val="009650DF"/>
    <w:rsid w:val="009B1CBB"/>
    <w:rsid w:val="009B7079"/>
    <w:rsid w:val="00A0516D"/>
    <w:rsid w:val="00A73A5A"/>
    <w:rsid w:val="00B4721D"/>
    <w:rsid w:val="00B8473A"/>
    <w:rsid w:val="00C21815"/>
    <w:rsid w:val="00C315D2"/>
    <w:rsid w:val="00C353D8"/>
    <w:rsid w:val="00C53235"/>
    <w:rsid w:val="00CE482A"/>
    <w:rsid w:val="00CF5A91"/>
    <w:rsid w:val="00D02BB1"/>
    <w:rsid w:val="00D45A74"/>
    <w:rsid w:val="00D7428F"/>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E18DD"/>
  <w15:docId w15:val="{B64C7655-563A-4B71-8B5A-FD3CDD6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BalloonText">
    <w:name w:val="Balloon Text"/>
    <w:basedOn w:val="Normal"/>
    <w:link w:val="BalloonTextChar"/>
    <w:uiPriority w:val="99"/>
    <w:semiHidden/>
    <w:unhideWhenUsed/>
    <w:rsid w:val="00A73A5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A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170">
      <w:bodyDiv w:val="1"/>
      <w:marLeft w:val="0"/>
      <w:marRight w:val="0"/>
      <w:marTop w:val="0"/>
      <w:marBottom w:val="0"/>
      <w:divBdr>
        <w:top w:val="none" w:sz="0" w:space="0" w:color="auto"/>
        <w:left w:val="none" w:sz="0" w:space="0" w:color="auto"/>
        <w:bottom w:val="none" w:sz="0" w:space="0" w:color="auto"/>
        <w:right w:val="none" w:sz="0" w:space="0" w:color="auto"/>
      </w:divBdr>
      <w:divsChild>
        <w:div w:id="808325344">
          <w:marLeft w:val="0"/>
          <w:marRight w:val="0"/>
          <w:marTop w:val="0"/>
          <w:marBottom w:val="0"/>
          <w:divBdr>
            <w:top w:val="none" w:sz="0" w:space="0" w:color="auto"/>
            <w:left w:val="none" w:sz="0" w:space="0" w:color="auto"/>
            <w:bottom w:val="none" w:sz="0" w:space="0" w:color="auto"/>
            <w:right w:val="none" w:sz="0" w:space="0" w:color="auto"/>
          </w:divBdr>
          <w:divsChild>
            <w:div w:id="1101416451">
              <w:marLeft w:val="0"/>
              <w:marRight w:val="0"/>
              <w:marTop w:val="0"/>
              <w:marBottom w:val="0"/>
              <w:divBdr>
                <w:top w:val="none" w:sz="0" w:space="0" w:color="auto"/>
                <w:left w:val="none" w:sz="0" w:space="0" w:color="auto"/>
                <w:bottom w:val="none" w:sz="0" w:space="0" w:color="auto"/>
                <w:right w:val="none" w:sz="0" w:space="0" w:color="auto"/>
              </w:divBdr>
              <w:divsChild>
                <w:div w:id="1817330277">
                  <w:marLeft w:val="0"/>
                  <w:marRight w:val="0"/>
                  <w:marTop w:val="0"/>
                  <w:marBottom w:val="0"/>
                  <w:divBdr>
                    <w:top w:val="none" w:sz="0" w:space="0" w:color="auto"/>
                    <w:left w:val="none" w:sz="0" w:space="0" w:color="auto"/>
                    <w:bottom w:val="none" w:sz="0" w:space="0" w:color="auto"/>
                    <w:right w:val="none" w:sz="0" w:space="0" w:color="auto"/>
                  </w:divBdr>
                  <w:divsChild>
                    <w:div w:id="1024015137">
                      <w:marLeft w:val="0"/>
                      <w:marRight w:val="0"/>
                      <w:marTop w:val="120"/>
                      <w:marBottom w:val="0"/>
                      <w:divBdr>
                        <w:top w:val="none" w:sz="0" w:space="0" w:color="auto"/>
                        <w:left w:val="none" w:sz="0" w:space="0" w:color="auto"/>
                        <w:bottom w:val="none" w:sz="0" w:space="0" w:color="auto"/>
                        <w:right w:val="none" w:sz="0" w:space="0" w:color="auto"/>
                      </w:divBdr>
                      <w:divsChild>
                        <w:div w:id="1972594840">
                          <w:marLeft w:val="0"/>
                          <w:marRight w:val="0"/>
                          <w:marTop w:val="0"/>
                          <w:marBottom w:val="0"/>
                          <w:divBdr>
                            <w:top w:val="none" w:sz="0" w:space="0" w:color="auto"/>
                            <w:left w:val="none" w:sz="0" w:space="0" w:color="auto"/>
                            <w:bottom w:val="none" w:sz="0" w:space="0" w:color="auto"/>
                            <w:right w:val="none" w:sz="0" w:space="0" w:color="auto"/>
                          </w:divBdr>
                          <w:divsChild>
                            <w:div w:id="46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82844">
          <w:marLeft w:val="0"/>
          <w:marRight w:val="0"/>
          <w:marTop w:val="0"/>
          <w:marBottom w:val="0"/>
          <w:divBdr>
            <w:top w:val="none" w:sz="0" w:space="0" w:color="auto"/>
            <w:left w:val="none" w:sz="0" w:space="0" w:color="auto"/>
            <w:bottom w:val="none" w:sz="0" w:space="0" w:color="auto"/>
            <w:right w:val="none" w:sz="0" w:space="0" w:color="auto"/>
          </w:divBdr>
          <w:divsChild>
            <w:div w:id="2117554360">
              <w:marLeft w:val="0"/>
              <w:marRight w:val="0"/>
              <w:marTop w:val="0"/>
              <w:marBottom w:val="0"/>
              <w:divBdr>
                <w:top w:val="none" w:sz="0" w:space="0" w:color="auto"/>
                <w:left w:val="none" w:sz="0" w:space="0" w:color="auto"/>
                <w:bottom w:val="none" w:sz="0" w:space="0" w:color="auto"/>
                <w:right w:val="none" w:sz="0" w:space="0" w:color="auto"/>
              </w:divBdr>
              <w:divsChild>
                <w:div w:id="1385181004">
                  <w:marLeft w:val="0"/>
                  <w:marRight w:val="0"/>
                  <w:marTop w:val="0"/>
                  <w:marBottom w:val="0"/>
                  <w:divBdr>
                    <w:top w:val="none" w:sz="0" w:space="0" w:color="auto"/>
                    <w:left w:val="none" w:sz="0" w:space="0" w:color="auto"/>
                    <w:bottom w:val="none" w:sz="0" w:space="0" w:color="auto"/>
                    <w:right w:val="none" w:sz="0" w:space="0" w:color="auto"/>
                  </w:divBdr>
                  <w:divsChild>
                    <w:div w:id="38483820">
                      <w:marLeft w:val="0"/>
                      <w:marRight w:val="0"/>
                      <w:marTop w:val="0"/>
                      <w:marBottom w:val="0"/>
                      <w:divBdr>
                        <w:top w:val="none" w:sz="0" w:space="0" w:color="auto"/>
                        <w:left w:val="none" w:sz="0" w:space="0" w:color="auto"/>
                        <w:bottom w:val="none" w:sz="0" w:space="0" w:color="auto"/>
                        <w:right w:val="none" w:sz="0" w:space="0" w:color="auto"/>
                      </w:divBdr>
                      <w:divsChild>
                        <w:div w:id="2063556578">
                          <w:marLeft w:val="0"/>
                          <w:marRight w:val="0"/>
                          <w:marTop w:val="0"/>
                          <w:marBottom w:val="0"/>
                          <w:divBdr>
                            <w:top w:val="none" w:sz="0" w:space="0" w:color="auto"/>
                            <w:left w:val="none" w:sz="0" w:space="0" w:color="auto"/>
                            <w:bottom w:val="none" w:sz="0" w:space="0" w:color="auto"/>
                            <w:right w:val="none" w:sz="0" w:space="0" w:color="auto"/>
                          </w:divBdr>
                          <w:divsChild>
                            <w:div w:id="15996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2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2.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Stephanie McMahon</cp:lastModifiedBy>
  <cp:revision>2</cp:revision>
  <dcterms:created xsi:type="dcterms:W3CDTF">2025-07-31T07:26:00Z</dcterms:created>
  <dcterms:modified xsi:type="dcterms:W3CDTF">2025-07-31T07:26:00Z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